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1" w:rightFromText="141" w:vertAnchor="page" w:horzAnchor="margin" w:tblpXSpec="center" w:tblpY="839"/>
        <w:tblW w:w="9781" w:type="dxa"/>
        <w:jc w:val="center"/>
        <w:tblBorders>
          <w:bottom w:val="single" w:sz="4" w:space="0" w:color="auto"/>
        </w:tblBorders>
        <w:tblCellMar>
          <w:left w:w="70" w:type="dxa"/>
          <w:right w:w="70" w:type="dxa"/>
        </w:tblCellMar>
        <w:tblLook w:val="0000" w:firstRow="0" w:lastRow="0" w:firstColumn="0" w:lastColumn="0" w:noHBand="0" w:noVBand="0"/>
      </w:tblPr>
      <w:tblGrid>
        <w:gridCol w:w="3200"/>
        <w:gridCol w:w="6581"/>
      </w:tblGrid>
      <w:tr w:rsidR="00A0202B" w:rsidRPr="00614EF9" w14:paraId="4A9D7165" w14:textId="77777777" w:rsidTr="009514E2">
        <w:trPr>
          <w:trHeight w:val="1701"/>
          <w:jc w:val="center"/>
        </w:trPr>
        <w:tc>
          <w:tcPr>
            <w:tcW w:w="3200" w:type="dxa"/>
          </w:tcPr>
          <w:p w14:paraId="5A829087" w14:textId="77777777" w:rsidR="00A0202B" w:rsidRPr="00614EF9" w:rsidRDefault="00A0202B" w:rsidP="009514E2">
            <w:pPr>
              <w:rPr>
                <w:rFonts w:cs="Calibri"/>
                <w:lang w:val="fr-FR"/>
              </w:rPr>
            </w:pPr>
            <w:r w:rsidRPr="00614EF9">
              <w:rPr>
                <w:rFonts w:cs="Calibri"/>
                <w:noProof/>
                <w:lang w:val="fr-FR"/>
              </w:rPr>
              <w:drawing>
                <wp:anchor distT="0" distB="0" distL="114300" distR="114300" simplePos="0" relativeHeight="251659264" behindDoc="0" locked="0" layoutInCell="1" allowOverlap="1" wp14:anchorId="46A15728" wp14:editId="36997B2A">
                  <wp:simplePos x="0" y="0"/>
                  <wp:positionH relativeFrom="column">
                    <wp:posOffset>45036</wp:posOffset>
                  </wp:positionH>
                  <wp:positionV relativeFrom="paragraph">
                    <wp:posOffset>185322</wp:posOffset>
                  </wp:positionV>
                  <wp:extent cx="1939906" cy="812751"/>
                  <wp:effectExtent l="0" t="0" r="3810" b="635"/>
                  <wp:wrapTopAndBottom/>
                  <wp:docPr id="2071105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8417" cy="820507"/>
                          </a:xfrm>
                          <a:prstGeom prst="rect">
                            <a:avLst/>
                          </a:prstGeom>
                          <a:noFill/>
                        </pic:spPr>
                      </pic:pic>
                    </a:graphicData>
                  </a:graphic>
                  <wp14:sizeRelH relativeFrom="page">
                    <wp14:pctWidth>0</wp14:pctWidth>
                  </wp14:sizeRelH>
                  <wp14:sizeRelV relativeFrom="page">
                    <wp14:pctHeight>0</wp14:pctHeight>
                  </wp14:sizeRelV>
                </wp:anchor>
              </w:drawing>
            </w:r>
          </w:p>
        </w:tc>
        <w:tc>
          <w:tcPr>
            <w:tcW w:w="6581" w:type="dxa"/>
          </w:tcPr>
          <w:p w14:paraId="5DEF69D3" w14:textId="77777777" w:rsidR="00A0202B" w:rsidRPr="00614EF9" w:rsidRDefault="00A0202B" w:rsidP="009514E2">
            <w:pPr>
              <w:jc w:val="center"/>
              <w:rPr>
                <w:rFonts w:cs="Calibri"/>
                <w:color w:val="E36C0A"/>
                <w:spacing w:val="40"/>
                <w:lang w:val="fr-FR"/>
              </w:rPr>
            </w:pPr>
            <w:r w:rsidRPr="00614EF9">
              <w:rPr>
                <w:rFonts w:cs="Calibri"/>
                <w:color w:val="E36C0A"/>
                <w:spacing w:val="40"/>
                <w:lang w:val="fr-FR"/>
              </w:rPr>
              <w:t>REPUBLIQUE DU NIGER</w:t>
            </w:r>
          </w:p>
          <w:p w14:paraId="44BBBB3D" w14:textId="77777777" w:rsidR="00A0202B" w:rsidRPr="00614EF9" w:rsidRDefault="00A0202B" w:rsidP="009514E2">
            <w:pPr>
              <w:jc w:val="center"/>
              <w:rPr>
                <w:rFonts w:cs="Calibri"/>
                <w:color w:val="E36C0A"/>
                <w:spacing w:val="40"/>
                <w:lang w:val="fr-FR"/>
              </w:rPr>
            </w:pPr>
            <w:r w:rsidRPr="00614EF9">
              <w:rPr>
                <w:rFonts w:cs="Calibri"/>
                <w:color w:val="E36C0A"/>
                <w:spacing w:val="40"/>
                <w:lang w:val="fr-FR"/>
              </w:rPr>
              <w:t>CABINET DU PREMIER MINISTRE</w:t>
            </w:r>
          </w:p>
          <w:p w14:paraId="710AE91A" w14:textId="77777777" w:rsidR="00A0202B" w:rsidRPr="00614EF9" w:rsidRDefault="00A0202B" w:rsidP="009514E2">
            <w:pPr>
              <w:jc w:val="center"/>
              <w:rPr>
                <w:rFonts w:cs="Calibri"/>
                <w:color w:val="00B050"/>
                <w:spacing w:val="40"/>
                <w:lang w:val="fr-FR"/>
              </w:rPr>
            </w:pPr>
            <w:r w:rsidRPr="00614EF9">
              <w:rPr>
                <w:rFonts w:cs="Calibri"/>
                <w:color w:val="00B050"/>
                <w:spacing w:val="40"/>
                <w:lang w:val="fr-FR"/>
              </w:rPr>
              <w:t>AUTORITE DE REGULATION DES COMMUNICATIONS ELECTRONIQUES ET DE LA POSTE</w:t>
            </w:r>
          </w:p>
        </w:tc>
      </w:tr>
    </w:tbl>
    <w:p w14:paraId="15141F90" w14:textId="77777777" w:rsidR="00A0202B" w:rsidRPr="00614EF9" w:rsidRDefault="00A0202B">
      <w:pPr>
        <w:spacing w:after="240"/>
        <w:jc w:val="center"/>
        <w:rPr>
          <w:b/>
          <w:bCs/>
          <w:sz w:val="28"/>
          <w:szCs w:val="28"/>
          <w:lang w:val="fr-FR"/>
        </w:rPr>
      </w:pPr>
    </w:p>
    <w:p w14:paraId="400B920E" w14:textId="77777777" w:rsidR="00A0202B" w:rsidRPr="00614EF9" w:rsidRDefault="00A0202B">
      <w:pPr>
        <w:spacing w:after="240"/>
        <w:jc w:val="center"/>
        <w:rPr>
          <w:b/>
          <w:bCs/>
          <w:sz w:val="28"/>
          <w:szCs w:val="28"/>
          <w:lang w:val="fr-FR"/>
        </w:rPr>
      </w:pPr>
    </w:p>
    <w:p w14:paraId="16EF0C83" w14:textId="77777777" w:rsidR="00A0202B" w:rsidRPr="00614EF9" w:rsidRDefault="00A0202B">
      <w:pPr>
        <w:spacing w:after="240"/>
        <w:jc w:val="center"/>
        <w:rPr>
          <w:b/>
          <w:bCs/>
          <w:sz w:val="28"/>
          <w:szCs w:val="28"/>
          <w:lang w:val="fr-FR"/>
        </w:rPr>
      </w:pPr>
    </w:p>
    <w:p w14:paraId="6BBFC6DE" w14:textId="77777777" w:rsidR="00A0202B" w:rsidRPr="00614EF9" w:rsidRDefault="00A0202B">
      <w:pPr>
        <w:spacing w:after="240"/>
        <w:jc w:val="center"/>
        <w:rPr>
          <w:b/>
          <w:bCs/>
          <w:sz w:val="28"/>
          <w:szCs w:val="28"/>
          <w:lang w:val="fr-FR"/>
        </w:rPr>
      </w:pPr>
    </w:p>
    <w:p w14:paraId="373D2537" w14:textId="77777777" w:rsidR="00A0202B" w:rsidRPr="00614EF9" w:rsidRDefault="00A0202B">
      <w:pPr>
        <w:spacing w:after="240"/>
        <w:jc w:val="center"/>
        <w:rPr>
          <w:b/>
          <w:bCs/>
          <w:sz w:val="28"/>
          <w:szCs w:val="28"/>
          <w:lang w:val="fr-FR"/>
        </w:rPr>
      </w:pPr>
    </w:p>
    <w:p w14:paraId="3FC97E7B" w14:textId="77777777" w:rsidR="007C757E" w:rsidRPr="00614EF9" w:rsidRDefault="009514E2" w:rsidP="00A0202B">
      <w:pPr>
        <w:pBdr>
          <w:top w:val="single" w:sz="8" w:space="8" w:color="D4740E"/>
          <w:bottom w:val="single" w:sz="8" w:space="8" w:color="D4740E"/>
        </w:pBdr>
        <w:jc w:val="center"/>
        <w:rPr>
          <w:b/>
          <w:bCs/>
          <w:color w:val="000000" w:themeColor="text1"/>
          <w:sz w:val="40"/>
          <w:szCs w:val="40"/>
          <w:lang w:val="fr-FR"/>
        </w:rPr>
      </w:pPr>
      <w:r w:rsidRPr="00614EF9">
        <w:rPr>
          <w:b/>
          <w:bCs/>
          <w:color w:val="000000" w:themeColor="text1"/>
          <w:sz w:val="40"/>
          <w:szCs w:val="40"/>
          <w:lang w:val="fr-FR"/>
        </w:rPr>
        <w:t>PLAN DE TRANSITION</w:t>
      </w:r>
    </w:p>
    <w:p w14:paraId="300603CF" w14:textId="77777777" w:rsidR="00A0202B" w:rsidRPr="00614EF9" w:rsidRDefault="00A0202B" w:rsidP="00A0202B">
      <w:pPr>
        <w:pBdr>
          <w:top w:val="single" w:sz="8" w:space="8" w:color="D4740E"/>
          <w:bottom w:val="single" w:sz="8" w:space="8" w:color="D4740E"/>
        </w:pBdr>
        <w:jc w:val="center"/>
        <w:rPr>
          <w:b/>
          <w:bCs/>
          <w:color w:val="000000" w:themeColor="text1"/>
          <w:sz w:val="28"/>
          <w:szCs w:val="28"/>
          <w:lang w:val="fr-FR"/>
        </w:rPr>
      </w:pPr>
      <w:r w:rsidRPr="00614EF9">
        <w:rPr>
          <w:b/>
          <w:bCs/>
          <w:color w:val="000000" w:themeColor="text1"/>
          <w:sz w:val="28"/>
          <w:szCs w:val="28"/>
          <w:lang w:val="fr-FR"/>
        </w:rPr>
        <w:t>Mise en œuvre du Plan National d’Attribution des Fréquences</w:t>
      </w:r>
    </w:p>
    <w:p w14:paraId="71CCEED8" w14:textId="77777777" w:rsidR="00A0202B" w:rsidRPr="00614EF9" w:rsidRDefault="00A0202B" w:rsidP="00A0202B">
      <w:pPr>
        <w:pBdr>
          <w:top w:val="single" w:sz="8" w:space="8" w:color="D4740E"/>
          <w:bottom w:val="single" w:sz="8" w:space="8" w:color="D4740E"/>
        </w:pBdr>
        <w:jc w:val="center"/>
        <w:rPr>
          <w:b/>
          <w:bCs/>
          <w:color w:val="000000" w:themeColor="text1"/>
          <w:sz w:val="28"/>
          <w:szCs w:val="28"/>
          <w:lang w:val="fr-FR"/>
        </w:rPr>
      </w:pPr>
      <w:r w:rsidRPr="00614EF9">
        <w:rPr>
          <w:b/>
          <w:bCs/>
          <w:color w:val="000000" w:themeColor="text1"/>
          <w:sz w:val="28"/>
          <w:szCs w:val="28"/>
          <w:lang w:val="fr-FR"/>
        </w:rPr>
        <w:t>Période 2027-2029</w:t>
      </w:r>
    </w:p>
    <w:p w14:paraId="5DF3BBB8" w14:textId="77777777" w:rsidR="00A0202B" w:rsidRPr="00614EF9" w:rsidRDefault="00A0202B">
      <w:pPr>
        <w:jc w:val="center"/>
        <w:rPr>
          <w:b/>
          <w:bCs/>
          <w:szCs w:val="24"/>
          <w:lang w:val="fr-FR"/>
        </w:rPr>
      </w:pPr>
    </w:p>
    <w:p w14:paraId="6A756738" w14:textId="77777777" w:rsidR="00A0202B" w:rsidRPr="00614EF9" w:rsidRDefault="00A0202B">
      <w:pPr>
        <w:jc w:val="center"/>
        <w:rPr>
          <w:b/>
          <w:bCs/>
          <w:szCs w:val="24"/>
          <w:lang w:val="fr-FR"/>
        </w:rPr>
      </w:pPr>
    </w:p>
    <w:p w14:paraId="3505C655" w14:textId="33967B4E" w:rsidR="007C757E" w:rsidRPr="00614EF9" w:rsidRDefault="009514E2">
      <w:pPr>
        <w:jc w:val="center"/>
        <w:rPr>
          <w:lang w:val="fr-FR"/>
        </w:rPr>
      </w:pPr>
      <w:r w:rsidRPr="00614EF9">
        <w:rPr>
          <w:b/>
          <w:bCs/>
          <w:szCs w:val="24"/>
          <w:lang w:val="fr-FR"/>
        </w:rPr>
        <w:t>AVANT-PROJET</w:t>
      </w:r>
    </w:p>
    <w:p w14:paraId="39966F70" w14:textId="77777777" w:rsidR="007C757E" w:rsidRPr="00614EF9" w:rsidRDefault="009514E2">
      <w:pPr>
        <w:spacing w:after="1200"/>
        <w:jc w:val="center"/>
        <w:rPr>
          <w:lang w:val="fr-FR"/>
        </w:rPr>
      </w:pPr>
      <w:r w:rsidRPr="00614EF9">
        <w:rPr>
          <w:lang w:val="fr-FR"/>
        </w:rPr>
        <w:t>Direction des Radiocommunications</w:t>
      </w:r>
    </w:p>
    <w:p w14:paraId="5B3DFD3E" w14:textId="77777777" w:rsidR="007C757E" w:rsidRPr="00614EF9" w:rsidRDefault="009514E2">
      <w:pPr>
        <w:rPr>
          <w:lang w:val="fr-FR"/>
        </w:rPr>
      </w:pPr>
      <w:r w:rsidRPr="00614EF9">
        <w:rPr>
          <w:b/>
          <w:bCs/>
          <w:lang w:val="fr-FR"/>
        </w:rPr>
        <w:t>Gestion du document</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8"/>
        <w:gridCol w:w="1196"/>
        <w:gridCol w:w="5245"/>
        <w:gridCol w:w="2423"/>
      </w:tblGrid>
      <w:tr w:rsidR="007C757E" w:rsidRPr="00614EF9" w14:paraId="1FEE525A" w14:textId="77777777" w:rsidTr="001D2582">
        <w:tc>
          <w:tcPr>
            <w:tcW w:w="1058"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vAlign w:val="center"/>
          </w:tcPr>
          <w:p w14:paraId="74292064" w14:textId="77777777" w:rsidR="007C757E" w:rsidRPr="00614EF9" w:rsidRDefault="009514E2" w:rsidP="00165382">
            <w:pPr>
              <w:spacing w:before="0" w:after="0"/>
              <w:rPr>
                <w:sz w:val="18"/>
                <w:szCs w:val="18"/>
                <w:lang w:val="fr-FR"/>
              </w:rPr>
            </w:pPr>
            <w:r w:rsidRPr="00614EF9">
              <w:rPr>
                <w:b/>
                <w:bCs/>
                <w:sz w:val="18"/>
                <w:szCs w:val="18"/>
                <w:lang w:val="fr-FR"/>
              </w:rPr>
              <w:t>Version</w:t>
            </w:r>
          </w:p>
        </w:tc>
        <w:tc>
          <w:tcPr>
            <w:tcW w:w="1196"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vAlign w:val="center"/>
          </w:tcPr>
          <w:p w14:paraId="68CC999B" w14:textId="77777777" w:rsidR="007C757E" w:rsidRPr="00614EF9" w:rsidRDefault="009514E2" w:rsidP="00165382">
            <w:pPr>
              <w:spacing w:before="0" w:after="0"/>
              <w:rPr>
                <w:sz w:val="18"/>
                <w:szCs w:val="18"/>
                <w:lang w:val="fr-FR"/>
              </w:rPr>
            </w:pPr>
            <w:r w:rsidRPr="00614EF9">
              <w:rPr>
                <w:b/>
                <w:bCs/>
                <w:sz w:val="18"/>
                <w:szCs w:val="18"/>
                <w:lang w:val="fr-FR"/>
              </w:rPr>
              <w:t>Date</w:t>
            </w:r>
          </w:p>
        </w:tc>
        <w:tc>
          <w:tcPr>
            <w:tcW w:w="5245"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vAlign w:val="center"/>
          </w:tcPr>
          <w:p w14:paraId="0C2DC420" w14:textId="77777777" w:rsidR="007C757E" w:rsidRPr="00614EF9" w:rsidRDefault="009514E2" w:rsidP="00165382">
            <w:pPr>
              <w:spacing w:before="0" w:after="0"/>
              <w:rPr>
                <w:sz w:val="18"/>
                <w:szCs w:val="18"/>
                <w:lang w:val="fr-FR"/>
              </w:rPr>
            </w:pPr>
            <w:r w:rsidRPr="00614EF9">
              <w:rPr>
                <w:b/>
                <w:bCs/>
                <w:sz w:val="18"/>
                <w:szCs w:val="18"/>
                <w:lang w:val="fr-FR"/>
              </w:rPr>
              <w:t>Objet</w:t>
            </w:r>
          </w:p>
        </w:tc>
        <w:tc>
          <w:tcPr>
            <w:tcW w:w="2423" w:type="dxa"/>
            <w:tcBorders>
              <w:top w:val="single" w:sz="1" w:space="0" w:color="999999"/>
              <w:left w:val="single" w:sz="1" w:space="0" w:color="999999"/>
              <w:bottom w:val="single" w:sz="1" w:space="0" w:color="999999"/>
              <w:right w:val="single" w:sz="1" w:space="0" w:color="999999"/>
            </w:tcBorders>
            <w:shd w:val="clear" w:color="auto" w:fill="D5E8F0"/>
            <w:tcMar>
              <w:top w:w="80" w:type="dxa"/>
              <w:left w:w="120" w:type="dxa"/>
              <w:bottom w:w="80" w:type="dxa"/>
              <w:right w:w="120" w:type="dxa"/>
            </w:tcMar>
            <w:vAlign w:val="center"/>
          </w:tcPr>
          <w:p w14:paraId="52C9B9EB" w14:textId="77777777" w:rsidR="007C757E" w:rsidRPr="00614EF9" w:rsidRDefault="009514E2" w:rsidP="00165382">
            <w:pPr>
              <w:spacing w:before="0" w:after="0"/>
              <w:rPr>
                <w:sz w:val="18"/>
                <w:szCs w:val="18"/>
                <w:lang w:val="fr-FR"/>
              </w:rPr>
            </w:pPr>
            <w:r w:rsidRPr="00614EF9">
              <w:rPr>
                <w:b/>
                <w:bCs/>
                <w:sz w:val="18"/>
                <w:szCs w:val="18"/>
                <w:lang w:val="fr-FR"/>
              </w:rPr>
              <w:t>Rédaction</w:t>
            </w:r>
          </w:p>
        </w:tc>
      </w:tr>
      <w:tr w:rsidR="007C757E" w:rsidRPr="00614EF9" w14:paraId="0CE99D2F" w14:textId="77777777" w:rsidTr="001D2582">
        <w:tc>
          <w:tcPr>
            <w:tcW w:w="105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313F3C42" w14:textId="6AF71114" w:rsidR="00436C8A" w:rsidRPr="00614EF9" w:rsidRDefault="001D2582" w:rsidP="00C87BDC">
            <w:pPr>
              <w:jc w:val="center"/>
              <w:rPr>
                <w:lang w:val="fr-FR"/>
              </w:rPr>
            </w:pPr>
            <w:r w:rsidRPr="00614EF9">
              <w:rPr>
                <w:b/>
                <w:sz w:val="18"/>
                <w:lang w:val="fr-FR"/>
              </w:rPr>
              <w:t>Final</w:t>
            </w:r>
          </w:p>
        </w:tc>
        <w:tc>
          <w:tcPr>
            <w:tcW w:w="1196"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61F7870B" w14:textId="0E0173FA" w:rsidR="00436C8A" w:rsidRPr="00614EF9" w:rsidRDefault="001D2582">
            <w:pPr>
              <w:rPr>
                <w:sz w:val="18"/>
                <w:lang w:val="fr-FR"/>
              </w:rPr>
            </w:pPr>
            <w:r w:rsidRPr="00614EF9">
              <w:rPr>
                <w:sz w:val="18"/>
                <w:lang w:val="fr-FR"/>
              </w:rPr>
              <w:t>30/09/2026</w:t>
            </w:r>
          </w:p>
        </w:tc>
        <w:tc>
          <w:tcPr>
            <w:tcW w:w="5245"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0048D61" w14:textId="49C667F5" w:rsidR="00436C8A" w:rsidRPr="00614EF9" w:rsidRDefault="001D2582">
            <w:pPr>
              <w:rPr>
                <w:lang w:val="fr-FR"/>
              </w:rPr>
            </w:pPr>
            <w:r w:rsidRPr="00614EF9">
              <w:rPr>
                <w:sz w:val="18"/>
                <w:lang w:val="fr-FR"/>
              </w:rPr>
              <w:t>Élaboration de l’avant-projet de plan de transition, à soumettre en consultation publique</w:t>
            </w:r>
          </w:p>
        </w:tc>
        <w:tc>
          <w:tcPr>
            <w:tcW w:w="2423"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vAlign w:val="center"/>
          </w:tcPr>
          <w:p w14:paraId="79B0C104" w14:textId="1113BBE7" w:rsidR="00436C8A" w:rsidRPr="00614EF9" w:rsidRDefault="000D557B">
            <w:pPr>
              <w:rPr>
                <w:lang w:val="fr-FR"/>
              </w:rPr>
            </w:pPr>
            <w:r>
              <w:rPr>
                <w:sz w:val="18"/>
                <w:lang w:val="fr-FR"/>
              </w:rPr>
              <w:t>ARCEP</w:t>
            </w:r>
          </w:p>
        </w:tc>
      </w:tr>
    </w:tbl>
    <w:p w14:paraId="793FC8BF" w14:textId="77777777" w:rsidR="007C757E" w:rsidRPr="00614EF9" w:rsidRDefault="009514E2">
      <w:pPr>
        <w:rPr>
          <w:lang w:val="fr-FR"/>
        </w:rPr>
      </w:pPr>
      <w:r w:rsidRPr="00614EF9">
        <w:rPr>
          <w:lang w:val="fr-FR"/>
        </w:rPr>
        <w:br w:type="page"/>
      </w:r>
    </w:p>
    <w:p w14:paraId="07B550F7" w14:textId="77777777" w:rsidR="00614EF9" w:rsidRPr="00614EF9" w:rsidRDefault="009514E2" w:rsidP="00614EF9">
      <w:pPr>
        <w:pStyle w:val="Titre1"/>
        <w:numPr>
          <w:ilvl w:val="0"/>
          <w:numId w:val="0"/>
        </w:numPr>
        <w:spacing w:before="40" w:after="40"/>
        <w:rPr>
          <w:noProof/>
          <w:sz w:val="18"/>
          <w:szCs w:val="18"/>
        </w:rPr>
      </w:pPr>
      <w:bookmarkStart w:id="0" w:name="_Toc232062274"/>
      <w:bookmarkStart w:id="1" w:name="_Toc232065924"/>
      <w:bookmarkStart w:id="2" w:name="_Toc236636353"/>
      <w:bookmarkStart w:id="3" w:name="_Toc240367701"/>
      <w:bookmarkStart w:id="4" w:name="_Toc240375433"/>
      <w:bookmarkStart w:id="5" w:name="_Toc240384148"/>
      <w:bookmarkStart w:id="6" w:name="_Toc240447771"/>
      <w:bookmarkStart w:id="7" w:name="_Toc240468626"/>
      <w:bookmarkStart w:id="8" w:name="_Toc240509553"/>
      <w:bookmarkStart w:id="9" w:name="_Toc240614340"/>
      <w:r w:rsidRPr="00614EF9">
        <w:rPr>
          <w:lang w:val="fr-FR"/>
        </w:rPr>
        <w:lastRenderedPageBreak/>
        <w:t>Table des matières</w:t>
      </w:r>
      <w:bookmarkEnd w:id="0"/>
      <w:bookmarkEnd w:id="1"/>
      <w:bookmarkEnd w:id="2"/>
      <w:bookmarkEnd w:id="3"/>
      <w:bookmarkEnd w:id="4"/>
      <w:bookmarkEnd w:id="5"/>
      <w:bookmarkEnd w:id="6"/>
      <w:bookmarkEnd w:id="7"/>
      <w:bookmarkEnd w:id="8"/>
      <w:bookmarkEnd w:id="9"/>
      <w:r w:rsidR="00795DCB" w:rsidRPr="00614EF9">
        <w:rPr>
          <w:rFonts w:cstheme="minorHAnsi"/>
          <w:sz w:val="18"/>
          <w:szCs w:val="18"/>
          <w:lang w:val="fr-FR"/>
        </w:rPr>
        <w:fldChar w:fldCharType="begin"/>
      </w:r>
      <w:r w:rsidR="00795DCB" w:rsidRPr="00614EF9">
        <w:rPr>
          <w:sz w:val="18"/>
          <w:szCs w:val="18"/>
          <w:lang w:val="fr-FR"/>
        </w:rPr>
        <w:instrText xml:space="preserve"> TOC \o "1-4" \h \z \u </w:instrText>
      </w:r>
      <w:r w:rsidR="00795DCB" w:rsidRPr="00614EF9">
        <w:rPr>
          <w:rFonts w:cstheme="minorHAnsi"/>
          <w:sz w:val="18"/>
          <w:szCs w:val="18"/>
          <w:lang w:val="fr-FR"/>
        </w:rPr>
        <w:fldChar w:fldCharType="separate"/>
      </w:r>
    </w:p>
    <w:p w14:paraId="51EFB9B8" w14:textId="44BEE869" w:rsidR="00614EF9" w:rsidRPr="00614EF9" w:rsidRDefault="00614EF9" w:rsidP="00614EF9">
      <w:pPr>
        <w:pStyle w:val="TM1"/>
        <w:tabs>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p>
    <w:p w14:paraId="74B4A534" w14:textId="72675A8E" w:rsidR="00614EF9" w:rsidRPr="00614EF9" w:rsidRDefault="00614EF9" w:rsidP="00614EF9">
      <w:pPr>
        <w:pStyle w:val="TM1"/>
        <w:tabs>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41" w:history="1">
        <w:r w:rsidRPr="00614EF9">
          <w:rPr>
            <w:rStyle w:val="Lienhypertexte"/>
            <w:rFonts w:ascii="Century Gothic" w:hAnsi="Century Gothic"/>
            <w:noProof/>
            <w:sz w:val="18"/>
            <w:szCs w:val="18"/>
            <w:lang w:val="fr-FR"/>
          </w:rPr>
          <w:t>tableaux</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5</w:t>
        </w:r>
        <w:r w:rsidRPr="00614EF9">
          <w:rPr>
            <w:rFonts w:ascii="Century Gothic" w:hAnsi="Century Gothic"/>
            <w:noProof/>
            <w:webHidden/>
            <w:sz w:val="18"/>
            <w:szCs w:val="18"/>
          </w:rPr>
          <w:fldChar w:fldCharType="end"/>
        </w:r>
      </w:hyperlink>
    </w:p>
    <w:p w14:paraId="5132A22B" w14:textId="593D5D24" w:rsidR="00614EF9" w:rsidRPr="00614EF9" w:rsidRDefault="00614EF9" w:rsidP="00614EF9">
      <w:pPr>
        <w:pStyle w:val="TM1"/>
        <w:tabs>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42" w:history="1">
        <w:r w:rsidRPr="00614EF9">
          <w:rPr>
            <w:rStyle w:val="Lienhypertexte"/>
            <w:rFonts w:ascii="Century Gothic" w:hAnsi="Century Gothic"/>
            <w:noProof/>
            <w:sz w:val="18"/>
            <w:szCs w:val="18"/>
            <w:lang w:val="fr-FR"/>
          </w:rPr>
          <w:t>Acronymes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6</w:t>
        </w:r>
        <w:r w:rsidRPr="00614EF9">
          <w:rPr>
            <w:rFonts w:ascii="Century Gothic" w:hAnsi="Century Gothic"/>
            <w:noProof/>
            <w:webHidden/>
            <w:sz w:val="18"/>
            <w:szCs w:val="18"/>
          </w:rPr>
          <w:fldChar w:fldCharType="end"/>
        </w:r>
      </w:hyperlink>
    </w:p>
    <w:p w14:paraId="1E842337" w14:textId="298E89F1"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43" w:history="1">
        <w:r w:rsidRPr="00614EF9">
          <w:rPr>
            <w:rStyle w:val="Lienhypertexte"/>
            <w:rFonts w:ascii="Century Gothic" w:hAnsi="Century Gothic"/>
            <w:noProof/>
            <w:sz w:val="18"/>
            <w:szCs w:val="18"/>
            <w:lang w:val="fr-FR"/>
          </w:rPr>
          <w:t>1</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Contexte, justification et cadre juridique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7</w:t>
        </w:r>
        <w:r w:rsidRPr="00614EF9">
          <w:rPr>
            <w:rFonts w:ascii="Century Gothic" w:hAnsi="Century Gothic"/>
            <w:noProof/>
            <w:webHidden/>
            <w:sz w:val="18"/>
            <w:szCs w:val="18"/>
          </w:rPr>
          <w:fldChar w:fldCharType="end"/>
        </w:r>
      </w:hyperlink>
    </w:p>
    <w:p w14:paraId="4E47B56B" w14:textId="51CC4637"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44" w:history="1">
        <w:r w:rsidRPr="00614EF9">
          <w:rPr>
            <w:rStyle w:val="Lienhypertexte"/>
            <w:rFonts w:ascii="Century Gothic" w:hAnsi="Century Gothic"/>
            <w:noProof/>
            <w:sz w:val="18"/>
            <w:szCs w:val="18"/>
            <w:lang w:val="fr-FR"/>
          </w:rPr>
          <w:t>1.1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Contexte et justification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7</w:t>
        </w:r>
        <w:r w:rsidRPr="00614EF9">
          <w:rPr>
            <w:rFonts w:ascii="Century Gothic" w:hAnsi="Century Gothic"/>
            <w:noProof/>
            <w:webHidden/>
            <w:sz w:val="18"/>
            <w:szCs w:val="18"/>
          </w:rPr>
          <w:fldChar w:fldCharType="end"/>
        </w:r>
      </w:hyperlink>
    </w:p>
    <w:p w14:paraId="3007ABCE" w14:textId="6C5DDE3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45" w:history="1">
        <w:r w:rsidRPr="00614EF9">
          <w:rPr>
            <w:rStyle w:val="Lienhypertexte"/>
            <w:rFonts w:ascii="Century Gothic" w:hAnsi="Century Gothic"/>
            <w:noProof/>
            <w:sz w:val="18"/>
            <w:szCs w:val="18"/>
            <w:lang w:val="fr-FR"/>
          </w:rPr>
          <w:t>1.2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Objectifs et principes directeurs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7</w:t>
        </w:r>
        <w:r w:rsidRPr="00614EF9">
          <w:rPr>
            <w:rFonts w:ascii="Century Gothic" w:hAnsi="Century Gothic"/>
            <w:noProof/>
            <w:webHidden/>
            <w:sz w:val="18"/>
            <w:szCs w:val="18"/>
          </w:rPr>
          <w:fldChar w:fldCharType="end"/>
        </w:r>
      </w:hyperlink>
    </w:p>
    <w:p w14:paraId="3156C0D3" w14:textId="00E0EC69"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46" w:history="1">
        <w:r w:rsidRPr="00614EF9">
          <w:rPr>
            <w:rStyle w:val="Lienhypertexte"/>
            <w:rFonts w:ascii="Century Gothic" w:hAnsi="Century Gothic"/>
            <w:noProof/>
            <w:sz w:val="18"/>
            <w:szCs w:val="18"/>
            <w:lang w:val="fr-FR"/>
          </w:rPr>
          <w:t>1.2.1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Objectifs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7</w:t>
        </w:r>
        <w:r w:rsidRPr="00614EF9">
          <w:rPr>
            <w:rFonts w:ascii="Century Gothic" w:hAnsi="Century Gothic"/>
            <w:noProof/>
            <w:webHidden/>
            <w:sz w:val="18"/>
            <w:szCs w:val="18"/>
          </w:rPr>
          <w:fldChar w:fldCharType="end"/>
        </w:r>
      </w:hyperlink>
    </w:p>
    <w:p w14:paraId="683020F6" w14:textId="2E1F709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47" w:history="1">
        <w:r w:rsidRPr="00614EF9">
          <w:rPr>
            <w:rStyle w:val="Lienhypertexte"/>
            <w:rFonts w:ascii="Century Gothic" w:hAnsi="Century Gothic"/>
            <w:noProof/>
            <w:sz w:val="18"/>
            <w:szCs w:val="18"/>
            <w:lang w:val="fr-FR"/>
          </w:rPr>
          <w:t>1.2.2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Principes directeurs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7</w:t>
        </w:r>
        <w:r w:rsidRPr="00614EF9">
          <w:rPr>
            <w:rFonts w:ascii="Century Gothic" w:hAnsi="Century Gothic"/>
            <w:noProof/>
            <w:webHidden/>
            <w:sz w:val="18"/>
            <w:szCs w:val="18"/>
          </w:rPr>
          <w:fldChar w:fldCharType="end"/>
        </w:r>
      </w:hyperlink>
    </w:p>
    <w:p w14:paraId="196D740E" w14:textId="6C2B4087"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48" w:history="1">
        <w:r w:rsidRPr="00614EF9">
          <w:rPr>
            <w:rStyle w:val="Lienhypertexte"/>
            <w:rFonts w:ascii="Century Gothic" w:hAnsi="Century Gothic"/>
            <w:noProof/>
            <w:sz w:val="18"/>
            <w:szCs w:val="18"/>
            <w:lang w:val="fr-FR"/>
          </w:rPr>
          <w:t>1.3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Cadre juridique et textes de référence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8</w:t>
        </w:r>
        <w:r w:rsidRPr="00614EF9">
          <w:rPr>
            <w:rFonts w:ascii="Century Gothic" w:hAnsi="Century Gothic"/>
            <w:noProof/>
            <w:webHidden/>
            <w:sz w:val="18"/>
            <w:szCs w:val="18"/>
          </w:rPr>
          <w:fldChar w:fldCharType="end"/>
        </w:r>
      </w:hyperlink>
    </w:p>
    <w:p w14:paraId="170A0C23" w14:textId="680909A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49" w:history="1">
        <w:r w:rsidRPr="00614EF9">
          <w:rPr>
            <w:rStyle w:val="Lienhypertexte"/>
            <w:rFonts w:ascii="Century Gothic" w:hAnsi="Century Gothic"/>
            <w:noProof/>
            <w:sz w:val="18"/>
            <w:szCs w:val="18"/>
            <w:lang w:val="fr-FR"/>
          </w:rPr>
          <w:t>1.4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Portée du plan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_Toc240614349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77806664" w14:textId="2DEDCFA4"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0" w:history="1">
        <w:r w:rsidRPr="00614EF9">
          <w:rPr>
            <w:rStyle w:val="Lienhypertexte"/>
            <w:rFonts w:ascii="Century Gothic" w:hAnsi="Century Gothic"/>
            <w:noProof/>
            <w:sz w:val="18"/>
            <w:szCs w:val="18"/>
            <w:lang w:val="fr-FR"/>
          </w:rPr>
          <w:t>1.4.1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Bandes de fréquences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13E4F5B4" w14:textId="2EA3036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1" w:history="1">
        <w:r w:rsidRPr="00614EF9">
          <w:rPr>
            <w:rStyle w:val="Lienhypertexte"/>
            <w:rFonts w:ascii="Century Gothic" w:hAnsi="Century Gothic"/>
            <w:noProof/>
            <w:sz w:val="18"/>
            <w:szCs w:val="18"/>
            <w:lang w:val="fr-FR"/>
          </w:rPr>
          <w:t>1.4.2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Assignataires concernés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51B2B91B" w14:textId="2A952FB0"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2" w:history="1">
        <w:r w:rsidRPr="00614EF9">
          <w:rPr>
            <w:rStyle w:val="Lienhypertexte"/>
            <w:rFonts w:ascii="Century Gothic" w:hAnsi="Century Gothic"/>
            <w:noProof/>
            <w:sz w:val="18"/>
            <w:szCs w:val="18"/>
            <w:lang w:val="fr-FR"/>
          </w:rPr>
          <w:t>1.4.3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Portée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50741BEC" w14:textId="25C69BF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3" w:history="1">
        <w:r w:rsidRPr="00614EF9">
          <w:rPr>
            <w:rStyle w:val="Lienhypertexte"/>
            <w:rFonts w:ascii="Century Gothic" w:hAnsi="Century Gothic"/>
            <w:noProof/>
            <w:sz w:val="18"/>
            <w:szCs w:val="18"/>
            <w:lang w:val="fr-FR"/>
          </w:rPr>
          <w:t>1.4.4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Limites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116001C8" w14:textId="16B2E494"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54" w:history="1">
        <w:r w:rsidRPr="00614EF9">
          <w:rPr>
            <w:rStyle w:val="Lienhypertexte"/>
            <w:rFonts w:ascii="Century Gothic" w:hAnsi="Century Gothic"/>
            <w:noProof/>
            <w:sz w:val="18"/>
            <w:szCs w:val="18"/>
            <w:lang w:val="fr-FR"/>
          </w:rPr>
          <w:t>2</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consultation des parties prenantes ET GOUVERNANCE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2B310F5A" w14:textId="5DC3405F"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55" w:history="1">
        <w:r w:rsidRPr="00614EF9">
          <w:rPr>
            <w:rStyle w:val="Lienhypertexte"/>
            <w:rFonts w:ascii="Century Gothic" w:hAnsi="Century Gothic"/>
            <w:noProof/>
            <w:sz w:val="18"/>
            <w:szCs w:val="18"/>
            <w:lang w:val="fr-FR"/>
          </w:rPr>
          <w:t>2.1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Consultation publique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1426C44B" w14:textId="4835AA6B"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6" w:history="1">
        <w:r w:rsidRPr="00614EF9">
          <w:rPr>
            <w:rStyle w:val="Lienhypertexte"/>
            <w:rFonts w:ascii="Century Gothic" w:hAnsi="Century Gothic"/>
            <w:noProof/>
            <w:sz w:val="18"/>
            <w:szCs w:val="18"/>
            <w:lang w:val="fr-FR"/>
          </w:rPr>
          <w:t>2.1.1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Organisation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9</w:t>
        </w:r>
        <w:r w:rsidRPr="00614EF9">
          <w:rPr>
            <w:rFonts w:ascii="Century Gothic" w:hAnsi="Century Gothic"/>
            <w:noProof/>
            <w:webHidden/>
            <w:sz w:val="18"/>
            <w:szCs w:val="18"/>
          </w:rPr>
          <w:fldChar w:fldCharType="end"/>
        </w:r>
      </w:hyperlink>
    </w:p>
    <w:p w14:paraId="2E45277F" w14:textId="1D4A67F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7" w:history="1">
        <w:r w:rsidRPr="00614EF9">
          <w:rPr>
            <w:rStyle w:val="Lienhypertexte"/>
            <w:rFonts w:ascii="Century Gothic" w:hAnsi="Century Gothic"/>
            <w:noProof/>
            <w:sz w:val="18"/>
            <w:szCs w:val="18"/>
            <w:lang w:val="fr-FR"/>
          </w:rPr>
          <w:t>2.1.2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État du dépouillement</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10</w:t>
        </w:r>
        <w:r w:rsidRPr="00614EF9">
          <w:rPr>
            <w:rFonts w:ascii="Century Gothic" w:hAnsi="Century Gothic"/>
            <w:noProof/>
            <w:webHidden/>
            <w:sz w:val="18"/>
            <w:szCs w:val="18"/>
          </w:rPr>
          <w:fldChar w:fldCharType="end"/>
        </w:r>
      </w:hyperlink>
    </w:p>
    <w:p w14:paraId="2E08FA18" w14:textId="648775C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58" w:history="1">
        <w:r w:rsidRPr="00614EF9">
          <w:rPr>
            <w:rStyle w:val="Lienhypertexte"/>
            <w:rFonts w:ascii="Century Gothic" w:hAnsi="Century Gothic"/>
            <w:noProof/>
            <w:sz w:val="18"/>
            <w:szCs w:val="18"/>
            <w:lang w:val="fr-FR"/>
          </w:rPr>
          <w:t>2.1.3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Portée des conclusions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10</w:t>
        </w:r>
        <w:r w:rsidRPr="00614EF9">
          <w:rPr>
            <w:rFonts w:ascii="Century Gothic" w:hAnsi="Century Gothic"/>
            <w:noProof/>
            <w:webHidden/>
            <w:sz w:val="18"/>
            <w:szCs w:val="18"/>
          </w:rPr>
          <w:fldChar w:fldCharType="end"/>
        </w:r>
      </w:hyperlink>
    </w:p>
    <w:p w14:paraId="296F4515" w14:textId="6CCB7B00"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59" w:history="1">
        <w:r w:rsidRPr="00614EF9">
          <w:rPr>
            <w:rStyle w:val="Lienhypertexte"/>
            <w:rFonts w:ascii="Century Gothic" w:hAnsi="Century Gothic"/>
            <w:noProof/>
            <w:sz w:val="18"/>
            <w:szCs w:val="18"/>
            <w:lang w:val="fr-FR"/>
          </w:rPr>
          <w:t>2.2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Gouvernance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_Toc240614359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10</w:t>
        </w:r>
        <w:r w:rsidRPr="00614EF9">
          <w:rPr>
            <w:rFonts w:ascii="Century Gothic" w:hAnsi="Century Gothic"/>
            <w:noProof/>
            <w:webHidden/>
            <w:sz w:val="18"/>
            <w:szCs w:val="18"/>
          </w:rPr>
          <w:fldChar w:fldCharType="end"/>
        </w:r>
      </w:hyperlink>
    </w:p>
    <w:p w14:paraId="2CBA12B8" w14:textId="6AB77C34"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60" w:history="1">
        <w:r w:rsidRPr="00614EF9">
          <w:rPr>
            <w:rStyle w:val="Lienhypertexte"/>
            <w:rFonts w:ascii="Century Gothic" w:hAnsi="Century Gothic"/>
            <w:noProof/>
            <w:sz w:val="18"/>
            <w:szCs w:val="18"/>
            <w:lang w:val="fr-FR"/>
          </w:rPr>
          <w:t>2.2.1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Comité de pilotage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10</w:t>
        </w:r>
        <w:r w:rsidRPr="00614EF9">
          <w:rPr>
            <w:rFonts w:ascii="Century Gothic" w:hAnsi="Century Gothic"/>
            <w:noProof/>
            <w:webHidden/>
            <w:sz w:val="18"/>
            <w:szCs w:val="18"/>
          </w:rPr>
          <w:fldChar w:fldCharType="end"/>
        </w:r>
      </w:hyperlink>
    </w:p>
    <w:p w14:paraId="796CD962" w14:textId="78E0AE33"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61" w:history="1">
        <w:r w:rsidRPr="00614EF9">
          <w:rPr>
            <w:rStyle w:val="Lienhypertexte"/>
            <w:rFonts w:ascii="Century Gothic" w:hAnsi="Century Gothic"/>
            <w:noProof/>
            <w:lang w:val="fr-FR"/>
          </w:rPr>
          <w:t>2.2.1.1</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Composition</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_Toc240614361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11</w:t>
        </w:r>
        <w:r w:rsidRPr="00614EF9">
          <w:rPr>
            <w:rFonts w:ascii="Century Gothic" w:hAnsi="Century Gothic"/>
            <w:noProof/>
            <w:webHidden/>
          </w:rPr>
          <w:fldChar w:fldCharType="end"/>
        </w:r>
      </w:hyperlink>
    </w:p>
    <w:p w14:paraId="5FDC7BD0" w14:textId="41946FE8"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62" w:history="1">
        <w:r w:rsidRPr="00614EF9">
          <w:rPr>
            <w:rStyle w:val="Lienhypertexte"/>
            <w:rFonts w:ascii="Century Gothic" w:hAnsi="Century Gothic"/>
            <w:noProof/>
            <w:lang w:val="fr-FR"/>
          </w:rPr>
          <w:t>2.2.1.2</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Rôles et responsabilités</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_Toc240614362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11</w:t>
        </w:r>
        <w:r w:rsidRPr="00614EF9">
          <w:rPr>
            <w:rFonts w:ascii="Century Gothic" w:hAnsi="Century Gothic"/>
            <w:noProof/>
            <w:webHidden/>
          </w:rPr>
          <w:fldChar w:fldCharType="end"/>
        </w:r>
      </w:hyperlink>
    </w:p>
    <w:p w14:paraId="2886B41B" w14:textId="3170444E"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63" w:history="1">
        <w:r w:rsidRPr="00614EF9">
          <w:rPr>
            <w:rStyle w:val="Lienhypertexte"/>
            <w:rFonts w:ascii="Century Gothic" w:hAnsi="Century Gothic"/>
            <w:noProof/>
            <w:sz w:val="18"/>
            <w:szCs w:val="18"/>
            <w:lang w:val="fr-FR"/>
          </w:rPr>
          <w:t>2.2.2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Arbitrage et recours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11</w:t>
        </w:r>
        <w:r w:rsidRPr="00614EF9">
          <w:rPr>
            <w:rFonts w:ascii="Century Gothic" w:hAnsi="Century Gothic"/>
            <w:noProof/>
            <w:webHidden/>
            <w:sz w:val="18"/>
            <w:szCs w:val="18"/>
          </w:rPr>
          <w:fldChar w:fldCharType="end"/>
        </w:r>
      </w:hyperlink>
    </w:p>
    <w:p w14:paraId="52B8259B" w14:textId="4F8AC6FF"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64" w:history="1">
        <w:r w:rsidRPr="00614EF9">
          <w:rPr>
            <w:rStyle w:val="Lienhypertexte"/>
            <w:rFonts w:ascii="Century Gothic" w:hAnsi="Century Gothic"/>
            <w:noProof/>
            <w:sz w:val="18"/>
            <w:szCs w:val="18"/>
            <w:lang w:val="fr-FR"/>
          </w:rPr>
          <w:t>3</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Diagnostic de l’existant</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12</w:t>
        </w:r>
        <w:r w:rsidRPr="00614EF9">
          <w:rPr>
            <w:rFonts w:ascii="Century Gothic" w:hAnsi="Century Gothic"/>
            <w:noProof/>
            <w:webHidden/>
            <w:sz w:val="18"/>
            <w:szCs w:val="18"/>
          </w:rPr>
          <w:fldChar w:fldCharType="end"/>
        </w:r>
      </w:hyperlink>
    </w:p>
    <w:p w14:paraId="7D87952E" w14:textId="165AF48F"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65" w:history="1">
        <w:r w:rsidRPr="00614EF9">
          <w:rPr>
            <w:rStyle w:val="Lienhypertexte"/>
            <w:rFonts w:ascii="Century Gothic" w:hAnsi="Century Gothic"/>
            <w:noProof/>
            <w:sz w:val="18"/>
            <w:szCs w:val="18"/>
            <w:lang w:val="fr-FR"/>
          </w:rPr>
          <w:t>3.1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Méthodologie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12</w:t>
        </w:r>
        <w:r w:rsidRPr="00614EF9">
          <w:rPr>
            <w:rFonts w:ascii="Century Gothic" w:hAnsi="Century Gothic"/>
            <w:noProof/>
            <w:webHidden/>
            <w:sz w:val="18"/>
            <w:szCs w:val="18"/>
          </w:rPr>
          <w:fldChar w:fldCharType="end"/>
        </w:r>
      </w:hyperlink>
    </w:p>
    <w:p w14:paraId="5572F8CD" w14:textId="225B508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66" w:history="1">
        <w:r w:rsidRPr="00614EF9">
          <w:rPr>
            <w:rStyle w:val="Lienhypertexte"/>
            <w:rFonts w:ascii="Century Gothic" w:hAnsi="Century Gothic"/>
            <w:noProof/>
            <w:sz w:val="18"/>
            <w:szCs w:val="18"/>
            <w:lang w:val="fr-FR"/>
          </w:rPr>
          <w:t>3.2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Inventaire des assignations actuelles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12</w:t>
        </w:r>
        <w:r w:rsidRPr="00614EF9">
          <w:rPr>
            <w:rFonts w:ascii="Century Gothic" w:hAnsi="Century Gothic"/>
            <w:noProof/>
            <w:webHidden/>
            <w:sz w:val="18"/>
            <w:szCs w:val="18"/>
          </w:rPr>
          <w:fldChar w:fldCharType="end"/>
        </w:r>
      </w:hyperlink>
    </w:p>
    <w:p w14:paraId="36BFAA50" w14:textId="6257B9CE"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67" w:history="1">
        <w:r w:rsidRPr="00614EF9">
          <w:rPr>
            <w:rStyle w:val="Lienhypertexte"/>
            <w:rFonts w:ascii="Century Gothic" w:hAnsi="Century Gothic"/>
            <w:noProof/>
            <w:sz w:val="18"/>
            <w:szCs w:val="18"/>
            <w:lang w:val="fr-FR"/>
          </w:rPr>
          <w:t>3.2.1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600 MHz : Télévision Numérique Terrestre (TNT) et télévision analogique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12</w:t>
        </w:r>
        <w:r w:rsidRPr="00614EF9">
          <w:rPr>
            <w:rFonts w:ascii="Century Gothic" w:hAnsi="Century Gothic"/>
            <w:noProof/>
            <w:webHidden/>
            <w:sz w:val="18"/>
            <w:szCs w:val="18"/>
          </w:rPr>
          <w:fldChar w:fldCharType="end"/>
        </w:r>
      </w:hyperlink>
    </w:p>
    <w:p w14:paraId="71F590BB" w14:textId="7430BE43"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68" w:history="1">
        <w:r w:rsidRPr="00614EF9">
          <w:rPr>
            <w:rStyle w:val="Lienhypertexte"/>
            <w:rFonts w:ascii="Century Gothic" w:hAnsi="Century Gothic"/>
            <w:noProof/>
            <w:sz w:val="18"/>
            <w:szCs w:val="18"/>
            <w:lang w:val="fr-FR"/>
          </w:rPr>
          <w:t>3.2.2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700 MHz : Télévision analogique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12</w:t>
        </w:r>
        <w:r w:rsidRPr="00614EF9">
          <w:rPr>
            <w:rFonts w:ascii="Century Gothic" w:hAnsi="Century Gothic"/>
            <w:noProof/>
            <w:webHidden/>
            <w:sz w:val="18"/>
            <w:szCs w:val="18"/>
          </w:rPr>
          <w:fldChar w:fldCharType="end"/>
        </w:r>
      </w:hyperlink>
    </w:p>
    <w:p w14:paraId="74BE55AF" w14:textId="632D0036"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69" w:history="1">
        <w:r w:rsidRPr="00614EF9">
          <w:rPr>
            <w:rStyle w:val="Lienhypertexte"/>
            <w:rFonts w:ascii="Century Gothic" w:hAnsi="Century Gothic"/>
            <w:noProof/>
            <w:sz w:val="18"/>
            <w:szCs w:val="18"/>
            <w:lang w:val="fr-FR"/>
          </w:rPr>
          <w:t>3.2.3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2,4 GHz &amp; 5 GHz: Réseaux d'accès hertzien fixe des FAI</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_Toc240614369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13</w:t>
        </w:r>
        <w:r w:rsidRPr="00614EF9">
          <w:rPr>
            <w:rFonts w:ascii="Century Gothic" w:hAnsi="Century Gothic"/>
            <w:noProof/>
            <w:webHidden/>
            <w:sz w:val="18"/>
            <w:szCs w:val="18"/>
          </w:rPr>
          <w:fldChar w:fldCharType="end"/>
        </w:r>
      </w:hyperlink>
    </w:p>
    <w:p w14:paraId="44EA0F3D" w14:textId="02DFCD3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70" w:history="1">
        <w:r w:rsidRPr="00614EF9">
          <w:rPr>
            <w:rStyle w:val="Lienhypertexte"/>
            <w:rFonts w:ascii="Century Gothic" w:hAnsi="Century Gothic"/>
            <w:noProof/>
            <w:sz w:val="18"/>
            <w:szCs w:val="18"/>
            <w:lang w:val="fr-FR"/>
          </w:rPr>
          <w:t>3.2.4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Bande C</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13</w:t>
        </w:r>
        <w:r w:rsidRPr="00614EF9">
          <w:rPr>
            <w:rFonts w:ascii="Century Gothic" w:hAnsi="Century Gothic"/>
            <w:noProof/>
            <w:webHidden/>
            <w:sz w:val="18"/>
            <w:szCs w:val="18"/>
          </w:rPr>
          <w:fldChar w:fldCharType="end"/>
        </w:r>
      </w:hyperlink>
    </w:p>
    <w:p w14:paraId="625769F4" w14:textId="3FBCC15C"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71" w:history="1">
        <w:r w:rsidRPr="00614EF9">
          <w:rPr>
            <w:rStyle w:val="Lienhypertexte"/>
            <w:rFonts w:ascii="Century Gothic" w:hAnsi="Century Gothic"/>
            <w:noProof/>
            <w:lang w:val="fr-FR"/>
          </w:rPr>
          <w:t>3.2.4.1</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Stations terriennes du service fixe par satellite (SFS)</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_Toc240614371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13</w:t>
        </w:r>
        <w:r w:rsidRPr="00614EF9">
          <w:rPr>
            <w:rFonts w:ascii="Century Gothic" w:hAnsi="Century Gothic"/>
            <w:noProof/>
            <w:webHidden/>
          </w:rPr>
          <w:fldChar w:fldCharType="end"/>
        </w:r>
      </w:hyperlink>
    </w:p>
    <w:p w14:paraId="4E88AAD4" w14:textId="2743A036"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72" w:history="1">
        <w:r w:rsidRPr="00614EF9">
          <w:rPr>
            <w:rStyle w:val="Lienhypertexte"/>
            <w:rFonts w:ascii="Century Gothic" w:hAnsi="Century Gothic"/>
            <w:noProof/>
            <w:lang w:val="fr-FR"/>
          </w:rPr>
          <w:t>3.2.4.2</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Réseaux accès hertzien fixe</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_Toc240614372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14</w:t>
        </w:r>
        <w:r w:rsidRPr="00614EF9">
          <w:rPr>
            <w:rFonts w:ascii="Century Gothic" w:hAnsi="Century Gothic"/>
            <w:noProof/>
            <w:webHidden/>
          </w:rPr>
          <w:fldChar w:fldCharType="end"/>
        </w:r>
      </w:hyperlink>
    </w:p>
    <w:p w14:paraId="6C0E6426" w14:textId="07795CD3"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73" w:history="1">
        <w:r w:rsidRPr="00614EF9">
          <w:rPr>
            <w:rStyle w:val="Lienhypertexte"/>
            <w:rFonts w:ascii="Century Gothic" w:hAnsi="Century Gothic"/>
            <w:noProof/>
            <w:sz w:val="18"/>
            <w:szCs w:val="18"/>
            <w:lang w:val="fr-FR"/>
          </w:rPr>
          <w:t>3.3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Analyse de l’utilisation effective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14</w:t>
        </w:r>
        <w:r w:rsidRPr="00614EF9">
          <w:rPr>
            <w:rFonts w:ascii="Century Gothic" w:hAnsi="Century Gothic"/>
            <w:noProof/>
            <w:webHidden/>
            <w:sz w:val="18"/>
            <w:szCs w:val="18"/>
          </w:rPr>
          <w:fldChar w:fldCharType="end"/>
        </w:r>
      </w:hyperlink>
    </w:p>
    <w:p w14:paraId="7F24FD89" w14:textId="7E9FA79B"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74" w:history="1">
        <w:r w:rsidRPr="00614EF9">
          <w:rPr>
            <w:rStyle w:val="Lienhypertexte"/>
            <w:rFonts w:ascii="Century Gothic" w:hAnsi="Century Gothic"/>
            <w:noProof/>
            <w:sz w:val="18"/>
            <w:szCs w:val="18"/>
            <w:lang w:val="fr-FR"/>
          </w:rPr>
          <w:t>3.3.1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14</w:t>
        </w:r>
        <w:r w:rsidRPr="00614EF9">
          <w:rPr>
            <w:rFonts w:ascii="Century Gothic" w:hAnsi="Century Gothic"/>
            <w:noProof/>
            <w:webHidden/>
            <w:sz w:val="18"/>
            <w:szCs w:val="18"/>
          </w:rPr>
          <w:fldChar w:fldCharType="end"/>
        </w:r>
      </w:hyperlink>
    </w:p>
    <w:p w14:paraId="491F7B03" w14:textId="5224E735"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75" w:history="1">
        <w:r w:rsidRPr="00614EF9">
          <w:rPr>
            <w:rStyle w:val="Lienhypertexte"/>
            <w:rFonts w:ascii="Century Gothic" w:hAnsi="Century Gothic"/>
            <w:noProof/>
            <w:sz w:val="18"/>
            <w:szCs w:val="18"/>
            <w:lang w:val="fr-FR"/>
          </w:rPr>
          <w:t>3.3.2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700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15</w:t>
        </w:r>
        <w:r w:rsidRPr="00614EF9">
          <w:rPr>
            <w:rFonts w:ascii="Century Gothic" w:hAnsi="Century Gothic"/>
            <w:noProof/>
            <w:webHidden/>
            <w:sz w:val="18"/>
            <w:szCs w:val="18"/>
          </w:rPr>
          <w:fldChar w:fldCharType="end"/>
        </w:r>
      </w:hyperlink>
    </w:p>
    <w:p w14:paraId="57BF00DF" w14:textId="127B9CF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76" w:history="1">
        <w:r w:rsidRPr="00614EF9">
          <w:rPr>
            <w:rStyle w:val="Lienhypertexte"/>
            <w:rFonts w:ascii="Century Gothic" w:hAnsi="Century Gothic"/>
            <w:noProof/>
            <w:sz w:val="18"/>
            <w:szCs w:val="18"/>
            <w:lang w:val="fr-FR"/>
          </w:rPr>
          <w:t>3.3.3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2,4 GHz &amp; 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15</w:t>
        </w:r>
        <w:r w:rsidRPr="00614EF9">
          <w:rPr>
            <w:rFonts w:ascii="Century Gothic" w:hAnsi="Century Gothic"/>
            <w:noProof/>
            <w:webHidden/>
            <w:sz w:val="18"/>
            <w:szCs w:val="18"/>
          </w:rPr>
          <w:fldChar w:fldCharType="end"/>
        </w:r>
      </w:hyperlink>
    </w:p>
    <w:p w14:paraId="55916299" w14:textId="5713305A"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77" w:history="1">
        <w:r w:rsidRPr="00614EF9">
          <w:rPr>
            <w:rStyle w:val="Lienhypertexte"/>
            <w:rFonts w:ascii="Century Gothic" w:hAnsi="Century Gothic"/>
            <w:noProof/>
            <w:sz w:val="18"/>
            <w:szCs w:val="18"/>
            <w:lang w:val="fr-FR"/>
          </w:rPr>
          <w:t>3.3.4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bande C</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16</w:t>
        </w:r>
        <w:r w:rsidRPr="00614EF9">
          <w:rPr>
            <w:rFonts w:ascii="Century Gothic" w:hAnsi="Century Gothic"/>
            <w:noProof/>
            <w:webHidden/>
            <w:sz w:val="18"/>
            <w:szCs w:val="18"/>
          </w:rPr>
          <w:fldChar w:fldCharType="end"/>
        </w:r>
      </w:hyperlink>
    </w:p>
    <w:p w14:paraId="45805D86" w14:textId="03BDE44C"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78" w:history="1">
        <w:r w:rsidRPr="00614EF9">
          <w:rPr>
            <w:rStyle w:val="Lienhypertexte"/>
            <w:rFonts w:ascii="Century Gothic" w:hAnsi="Century Gothic"/>
            <w:noProof/>
            <w:sz w:val="18"/>
            <w:szCs w:val="18"/>
            <w:lang w:val="fr-FR"/>
          </w:rPr>
          <w:t>3.4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Évaluation de l’impact de la libération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16</w:t>
        </w:r>
        <w:r w:rsidRPr="00614EF9">
          <w:rPr>
            <w:rFonts w:ascii="Century Gothic" w:hAnsi="Century Gothic"/>
            <w:noProof/>
            <w:webHidden/>
            <w:sz w:val="18"/>
            <w:szCs w:val="18"/>
          </w:rPr>
          <w:fldChar w:fldCharType="end"/>
        </w:r>
      </w:hyperlink>
    </w:p>
    <w:p w14:paraId="6890C4A1" w14:textId="36B51A92"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79" w:history="1">
        <w:r w:rsidRPr="00614EF9">
          <w:rPr>
            <w:rStyle w:val="Lienhypertexte"/>
            <w:rFonts w:ascii="Century Gothic" w:hAnsi="Century Gothic"/>
            <w:noProof/>
            <w:sz w:val="18"/>
            <w:szCs w:val="18"/>
            <w:lang w:val="fr-FR"/>
          </w:rPr>
          <w:t>3.5</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Conclusion du diagnostic</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_Toc240614379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17</w:t>
        </w:r>
        <w:r w:rsidRPr="00614EF9">
          <w:rPr>
            <w:rFonts w:ascii="Century Gothic" w:hAnsi="Century Gothic"/>
            <w:noProof/>
            <w:webHidden/>
            <w:sz w:val="18"/>
            <w:szCs w:val="18"/>
          </w:rPr>
          <w:fldChar w:fldCharType="end"/>
        </w:r>
      </w:hyperlink>
    </w:p>
    <w:p w14:paraId="14D4445C" w14:textId="16C6F838"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380" w:history="1">
        <w:r w:rsidRPr="00614EF9">
          <w:rPr>
            <w:rStyle w:val="Lienhypertexte"/>
            <w:rFonts w:ascii="Century Gothic" w:hAnsi="Century Gothic"/>
            <w:noProof/>
            <w:sz w:val="18"/>
            <w:szCs w:val="18"/>
            <w:lang w:val="fr-FR"/>
          </w:rPr>
          <w:t>4</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Identification des bandes de repli</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2E4F382B" w14:textId="5966C06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81" w:history="1">
        <w:r w:rsidRPr="00614EF9">
          <w:rPr>
            <w:rStyle w:val="Lienhypertexte"/>
            <w:rFonts w:ascii="Century Gothic" w:hAnsi="Century Gothic"/>
            <w:noProof/>
            <w:sz w:val="18"/>
            <w:szCs w:val="18"/>
            <w:lang w:val="fr-FR"/>
          </w:rPr>
          <w:t>4.1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Bonnes pratiques internationales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302A8CAF" w14:textId="6F407EAE"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82" w:history="1">
        <w:r w:rsidRPr="00614EF9">
          <w:rPr>
            <w:rStyle w:val="Lienhypertexte"/>
            <w:rFonts w:ascii="Century Gothic" w:hAnsi="Century Gothic"/>
            <w:noProof/>
            <w:sz w:val="18"/>
            <w:szCs w:val="18"/>
            <w:lang w:val="fr-FR"/>
          </w:rPr>
          <w:t>4.1.1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bande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6B63DEDA" w14:textId="6DE273F1"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83" w:history="1">
        <w:r w:rsidRPr="00614EF9">
          <w:rPr>
            <w:rStyle w:val="Lienhypertexte"/>
            <w:rFonts w:ascii="Century Gothic" w:hAnsi="Century Gothic"/>
            <w:noProof/>
            <w:sz w:val="18"/>
            <w:szCs w:val="18"/>
            <w:lang w:val="fr-FR"/>
          </w:rPr>
          <w:t>4.1.2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bande 700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716943C2" w14:textId="014FB4CB"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84" w:history="1">
        <w:r w:rsidRPr="00614EF9">
          <w:rPr>
            <w:rStyle w:val="Lienhypertexte"/>
            <w:rFonts w:ascii="Century Gothic" w:hAnsi="Century Gothic"/>
            <w:noProof/>
            <w:sz w:val="18"/>
            <w:szCs w:val="18"/>
            <w:lang w:val="fr-FR"/>
          </w:rPr>
          <w:t>4.1.3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bande 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6E595F56" w14:textId="7CAADE48"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85" w:history="1">
        <w:r w:rsidRPr="00614EF9">
          <w:rPr>
            <w:rStyle w:val="Lienhypertexte"/>
            <w:rFonts w:ascii="Century Gothic" w:hAnsi="Century Gothic"/>
            <w:noProof/>
            <w:sz w:val="18"/>
            <w:szCs w:val="18"/>
            <w:lang w:val="fr-FR"/>
          </w:rPr>
          <w:t>4.1.4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bande 3400-3600 MHz (3,5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18</w:t>
        </w:r>
        <w:r w:rsidRPr="00614EF9">
          <w:rPr>
            <w:rFonts w:ascii="Century Gothic" w:hAnsi="Century Gothic"/>
            <w:noProof/>
            <w:webHidden/>
            <w:sz w:val="18"/>
            <w:szCs w:val="18"/>
          </w:rPr>
          <w:fldChar w:fldCharType="end"/>
        </w:r>
      </w:hyperlink>
    </w:p>
    <w:p w14:paraId="75AB5BCD" w14:textId="78AD2A58"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86" w:history="1">
        <w:r w:rsidRPr="00614EF9">
          <w:rPr>
            <w:rStyle w:val="Lienhypertexte"/>
            <w:rFonts w:ascii="Century Gothic" w:hAnsi="Century Gothic"/>
            <w:noProof/>
            <w:lang w:val="fr-FR"/>
          </w:rPr>
          <w:t>4.1.4.1</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Coexistence co-canal réseaux mobiles et réseaux d’accès hertzien fixe</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_Toc240614386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18</w:t>
        </w:r>
        <w:r w:rsidRPr="00614EF9">
          <w:rPr>
            <w:rFonts w:ascii="Century Gothic" w:hAnsi="Century Gothic"/>
            <w:noProof/>
            <w:webHidden/>
          </w:rPr>
          <w:fldChar w:fldCharType="end"/>
        </w:r>
      </w:hyperlink>
    </w:p>
    <w:p w14:paraId="49EDC786" w14:textId="1FF207E2"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387" w:history="1">
        <w:r w:rsidRPr="00614EF9">
          <w:rPr>
            <w:rStyle w:val="Lienhypertexte"/>
            <w:rFonts w:ascii="Century Gothic" w:hAnsi="Century Gothic"/>
            <w:noProof/>
            <w:lang w:val="fr-FR"/>
          </w:rPr>
          <w:t>4.1.4.2</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Coexistence en canal adjacent entre réseaux mobiles et stations terriennes</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_Toc240614387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19</w:t>
        </w:r>
        <w:r w:rsidRPr="00614EF9">
          <w:rPr>
            <w:rFonts w:ascii="Century Gothic" w:hAnsi="Century Gothic"/>
            <w:noProof/>
            <w:webHidden/>
          </w:rPr>
          <w:fldChar w:fldCharType="end"/>
        </w:r>
      </w:hyperlink>
    </w:p>
    <w:p w14:paraId="420C49DA" w14:textId="71B8D979"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88" w:history="1">
        <w:r w:rsidRPr="00614EF9">
          <w:rPr>
            <w:rStyle w:val="Lienhypertexte"/>
            <w:rFonts w:ascii="Century Gothic" w:hAnsi="Century Gothic"/>
            <w:noProof/>
            <w:sz w:val="18"/>
            <w:szCs w:val="18"/>
            <w:lang w:val="fr-FR"/>
          </w:rPr>
          <w:t>4.1.5</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Conclusion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20</w:t>
        </w:r>
        <w:r w:rsidRPr="00614EF9">
          <w:rPr>
            <w:rFonts w:ascii="Century Gothic" w:hAnsi="Century Gothic"/>
            <w:noProof/>
            <w:webHidden/>
            <w:sz w:val="18"/>
            <w:szCs w:val="18"/>
          </w:rPr>
          <w:fldChar w:fldCharType="end"/>
        </w:r>
      </w:hyperlink>
    </w:p>
    <w:p w14:paraId="6C7A18CB" w14:textId="367ED0EF"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89" w:history="1">
        <w:r w:rsidRPr="00614EF9">
          <w:rPr>
            <w:rStyle w:val="Lienhypertexte"/>
            <w:rFonts w:ascii="Century Gothic" w:hAnsi="Century Gothic"/>
            <w:noProof/>
            <w:sz w:val="18"/>
            <w:szCs w:val="18"/>
            <w:lang w:val="fr-FR"/>
          </w:rPr>
          <w:t>4.2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Bandes candidates et conformité au PNAF</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_Toc240614389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20</w:t>
        </w:r>
        <w:r w:rsidRPr="00614EF9">
          <w:rPr>
            <w:rFonts w:ascii="Century Gothic" w:hAnsi="Century Gothic"/>
            <w:noProof/>
            <w:webHidden/>
            <w:sz w:val="18"/>
            <w:szCs w:val="18"/>
          </w:rPr>
          <w:fldChar w:fldCharType="end"/>
        </w:r>
      </w:hyperlink>
    </w:p>
    <w:p w14:paraId="23161377" w14:textId="09C1DA29"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90" w:history="1">
        <w:r w:rsidRPr="00614EF9">
          <w:rPr>
            <w:rStyle w:val="Lienhypertexte"/>
            <w:rFonts w:ascii="Century Gothic" w:hAnsi="Century Gothic"/>
            <w:noProof/>
            <w:sz w:val="18"/>
            <w:szCs w:val="18"/>
            <w:lang w:val="fr-FR"/>
          </w:rPr>
          <w:t>4.3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Disponibilité des équipements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20F58F7A" w14:textId="08B1C379"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1" w:history="1">
        <w:r w:rsidRPr="00614EF9">
          <w:rPr>
            <w:rStyle w:val="Lienhypertexte"/>
            <w:rFonts w:ascii="Century Gothic" w:hAnsi="Century Gothic"/>
            <w:noProof/>
            <w:sz w:val="18"/>
            <w:szCs w:val="18"/>
            <w:lang w:val="fr-FR"/>
          </w:rPr>
          <w:t>4.3.1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078E0D98" w14:textId="62004673"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2" w:history="1">
        <w:r w:rsidRPr="00614EF9">
          <w:rPr>
            <w:rStyle w:val="Lienhypertexte"/>
            <w:rFonts w:ascii="Century Gothic" w:hAnsi="Century Gothic"/>
            <w:noProof/>
            <w:sz w:val="18"/>
            <w:szCs w:val="18"/>
            <w:lang w:val="fr-FR"/>
          </w:rPr>
          <w:t>4.3.2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700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6FAC44A0" w14:textId="7BD87619"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3" w:history="1">
        <w:r w:rsidRPr="00614EF9">
          <w:rPr>
            <w:rStyle w:val="Lienhypertexte"/>
            <w:rFonts w:ascii="Century Gothic" w:hAnsi="Century Gothic"/>
            <w:noProof/>
            <w:sz w:val="18"/>
            <w:szCs w:val="18"/>
            <w:lang w:val="fr-FR"/>
          </w:rPr>
          <w:t>4.3.3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3ED1A81C" w14:textId="3CA5622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4" w:history="1">
        <w:r w:rsidRPr="00614EF9">
          <w:rPr>
            <w:rStyle w:val="Lienhypertexte"/>
            <w:rFonts w:ascii="Century Gothic" w:hAnsi="Century Gothic"/>
            <w:noProof/>
            <w:sz w:val="18"/>
            <w:szCs w:val="18"/>
            <w:lang w:val="fr-FR"/>
          </w:rPr>
          <w:t>4.3.4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Volet 3,5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0C2B08ED" w14:textId="01E3F41C"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395" w:history="1">
        <w:r w:rsidRPr="00614EF9">
          <w:rPr>
            <w:rStyle w:val="Lienhypertexte"/>
            <w:rFonts w:ascii="Century Gothic" w:hAnsi="Century Gothic"/>
            <w:noProof/>
            <w:sz w:val="18"/>
            <w:szCs w:val="18"/>
            <w:lang w:val="fr-FR"/>
          </w:rPr>
          <w:t>4.4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Coordination aux frontières et notification à l’UIT</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6A021BE6" w14:textId="25EB7891"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6" w:history="1">
        <w:r w:rsidRPr="00614EF9">
          <w:rPr>
            <w:rStyle w:val="Lienhypertexte"/>
            <w:rFonts w:ascii="Century Gothic" w:hAnsi="Century Gothic"/>
            <w:noProof/>
            <w:sz w:val="18"/>
            <w:szCs w:val="18"/>
            <w:lang w:val="fr-FR"/>
          </w:rPr>
          <w:t>4.4.1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21</w:t>
        </w:r>
        <w:r w:rsidRPr="00614EF9">
          <w:rPr>
            <w:rFonts w:ascii="Century Gothic" w:hAnsi="Century Gothic"/>
            <w:noProof/>
            <w:webHidden/>
            <w:sz w:val="18"/>
            <w:szCs w:val="18"/>
          </w:rPr>
          <w:fldChar w:fldCharType="end"/>
        </w:r>
      </w:hyperlink>
    </w:p>
    <w:p w14:paraId="6DF54269" w14:textId="7EBC10C1"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7" w:history="1">
        <w:r w:rsidRPr="00614EF9">
          <w:rPr>
            <w:rStyle w:val="Lienhypertexte"/>
            <w:rFonts w:ascii="Century Gothic" w:hAnsi="Century Gothic"/>
            <w:noProof/>
            <w:sz w:val="18"/>
            <w:szCs w:val="18"/>
            <w:lang w:val="fr-FR"/>
          </w:rPr>
          <w:t>4.4.2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700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22</w:t>
        </w:r>
        <w:r w:rsidRPr="00614EF9">
          <w:rPr>
            <w:rFonts w:ascii="Century Gothic" w:hAnsi="Century Gothic"/>
            <w:noProof/>
            <w:webHidden/>
            <w:sz w:val="18"/>
            <w:szCs w:val="18"/>
          </w:rPr>
          <w:fldChar w:fldCharType="end"/>
        </w:r>
      </w:hyperlink>
    </w:p>
    <w:p w14:paraId="750199A5" w14:textId="15F0AD26"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8" w:history="1">
        <w:r w:rsidRPr="00614EF9">
          <w:rPr>
            <w:rStyle w:val="Lienhypertexte"/>
            <w:rFonts w:ascii="Century Gothic" w:hAnsi="Century Gothic"/>
            <w:noProof/>
            <w:sz w:val="18"/>
            <w:szCs w:val="18"/>
            <w:lang w:val="fr-FR"/>
          </w:rPr>
          <w:t>4.4.3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3,5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22</w:t>
        </w:r>
        <w:r w:rsidRPr="00614EF9">
          <w:rPr>
            <w:rFonts w:ascii="Century Gothic" w:hAnsi="Century Gothic"/>
            <w:noProof/>
            <w:webHidden/>
            <w:sz w:val="18"/>
            <w:szCs w:val="18"/>
          </w:rPr>
          <w:fldChar w:fldCharType="end"/>
        </w:r>
      </w:hyperlink>
    </w:p>
    <w:p w14:paraId="59705789" w14:textId="22A175F3"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399" w:history="1">
        <w:r w:rsidRPr="00614EF9">
          <w:rPr>
            <w:rStyle w:val="Lienhypertexte"/>
            <w:rFonts w:ascii="Century Gothic" w:hAnsi="Century Gothic"/>
            <w:noProof/>
            <w:sz w:val="18"/>
            <w:szCs w:val="18"/>
            <w:lang w:val="fr-FR"/>
          </w:rPr>
          <w:t>4.4.4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Conclusion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_Toc240614399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22</w:t>
        </w:r>
        <w:r w:rsidRPr="00614EF9">
          <w:rPr>
            <w:rFonts w:ascii="Century Gothic" w:hAnsi="Century Gothic"/>
            <w:noProof/>
            <w:webHidden/>
            <w:sz w:val="18"/>
            <w:szCs w:val="18"/>
          </w:rPr>
          <w:fldChar w:fldCharType="end"/>
        </w:r>
      </w:hyperlink>
    </w:p>
    <w:p w14:paraId="45DB01B4" w14:textId="14B6EB4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00" w:history="1">
        <w:r w:rsidRPr="00614EF9">
          <w:rPr>
            <w:rStyle w:val="Lienhypertexte"/>
            <w:rFonts w:ascii="Century Gothic" w:hAnsi="Century Gothic"/>
            <w:noProof/>
            <w:sz w:val="18"/>
            <w:szCs w:val="18"/>
            <w:lang w:val="fr-FR"/>
          </w:rPr>
          <w:t>4.5</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Analyse coûts-bénéfices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23</w:t>
        </w:r>
        <w:r w:rsidRPr="00614EF9">
          <w:rPr>
            <w:rFonts w:ascii="Century Gothic" w:hAnsi="Century Gothic"/>
            <w:noProof/>
            <w:webHidden/>
            <w:sz w:val="18"/>
            <w:szCs w:val="18"/>
          </w:rPr>
          <w:fldChar w:fldCharType="end"/>
        </w:r>
      </w:hyperlink>
    </w:p>
    <w:p w14:paraId="7DDD358C" w14:textId="0060423B"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01" w:history="1">
        <w:r w:rsidRPr="00614EF9">
          <w:rPr>
            <w:rStyle w:val="Lienhypertexte"/>
            <w:rFonts w:ascii="Century Gothic" w:hAnsi="Century Gothic"/>
            <w:noProof/>
            <w:sz w:val="18"/>
            <w:szCs w:val="18"/>
            <w:lang w:val="fr-FR"/>
          </w:rPr>
          <w:t>5</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Modalités de libération et de migration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24</w:t>
        </w:r>
        <w:r w:rsidRPr="00614EF9">
          <w:rPr>
            <w:rFonts w:ascii="Century Gothic" w:hAnsi="Century Gothic"/>
            <w:noProof/>
            <w:webHidden/>
            <w:sz w:val="18"/>
            <w:szCs w:val="18"/>
          </w:rPr>
          <w:fldChar w:fldCharType="end"/>
        </w:r>
      </w:hyperlink>
    </w:p>
    <w:p w14:paraId="2A5C2FED" w14:textId="2C8CC2E8"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02" w:history="1">
        <w:r w:rsidRPr="00614EF9">
          <w:rPr>
            <w:rStyle w:val="Lienhypertexte"/>
            <w:rFonts w:ascii="Century Gothic" w:hAnsi="Century Gothic"/>
            <w:noProof/>
            <w:sz w:val="18"/>
            <w:szCs w:val="18"/>
            <w:lang w:val="fr-FR"/>
          </w:rPr>
          <w:t>5.1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Notification et préavis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24</w:t>
        </w:r>
        <w:r w:rsidRPr="00614EF9">
          <w:rPr>
            <w:rFonts w:ascii="Century Gothic" w:hAnsi="Century Gothic"/>
            <w:noProof/>
            <w:webHidden/>
            <w:sz w:val="18"/>
            <w:szCs w:val="18"/>
          </w:rPr>
          <w:fldChar w:fldCharType="end"/>
        </w:r>
      </w:hyperlink>
    </w:p>
    <w:p w14:paraId="2DA75883" w14:textId="6F9F4AE5"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03" w:history="1">
        <w:r w:rsidRPr="00614EF9">
          <w:rPr>
            <w:rStyle w:val="Lienhypertexte"/>
            <w:rFonts w:ascii="Century Gothic" w:hAnsi="Century Gothic"/>
            <w:noProof/>
            <w:sz w:val="18"/>
            <w:szCs w:val="18"/>
            <w:lang w:val="fr-FR"/>
          </w:rPr>
          <w:t>5.1.1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Notification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24</w:t>
        </w:r>
        <w:r w:rsidRPr="00614EF9">
          <w:rPr>
            <w:rFonts w:ascii="Century Gothic" w:hAnsi="Century Gothic"/>
            <w:noProof/>
            <w:webHidden/>
            <w:sz w:val="18"/>
            <w:szCs w:val="18"/>
          </w:rPr>
          <w:fldChar w:fldCharType="end"/>
        </w:r>
      </w:hyperlink>
    </w:p>
    <w:p w14:paraId="07FB6306" w14:textId="73CBDAC8"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04" w:history="1">
        <w:r w:rsidRPr="00614EF9">
          <w:rPr>
            <w:rStyle w:val="Lienhypertexte"/>
            <w:rFonts w:ascii="Century Gothic" w:hAnsi="Century Gothic"/>
            <w:noProof/>
            <w:sz w:val="18"/>
            <w:szCs w:val="18"/>
            <w:lang w:val="fr-FR"/>
          </w:rPr>
          <w:t>5.1.2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Durée de préavis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24</w:t>
        </w:r>
        <w:r w:rsidRPr="00614EF9">
          <w:rPr>
            <w:rFonts w:ascii="Century Gothic" w:hAnsi="Century Gothic"/>
            <w:noProof/>
            <w:webHidden/>
            <w:sz w:val="18"/>
            <w:szCs w:val="18"/>
          </w:rPr>
          <w:fldChar w:fldCharType="end"/>
        </w:r>
      </w:hyperlink>
    </w:p>
    <w:p w14:paraId="521290F4" w14:textId="519CEC7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05" w:history="1">
        <w:r w:rsidRPr="00614EF9">
          <w:rPr>
            <w:rStyle w:val="Lienhypertexte"/>
            <w:rFonts w:ascii="Century Gothic" w:hAnsi="Century Gothic"/>
            <w:noProof/>
            <w:sz w:val="18"/>
            <w:szCs w:val="18"/>
            <w:lang w:val="fr-FR"/>
          </w:rPr>
          <w:t>5.2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Phases de la migration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24</w:t>
        </w:r>
        <w:r w:rsidRPr="00614EF9">
          <w:rPr>
            <w:rFonts w:ascii="Century Gothic" w:hAnsi="Century Gothic"/>
            <w:noProof/>
            <w:webHidden/>
            <w:sz w:val="18"/>
            <w:szCs w:val="18"/>
          </w:rPr>
          <w:fldChar w:fldCharType="end"/>
        </w:r>
      </w:hyperlink>
    </w:p>
    <w:p w14:paraId="2D4FCE30" w14:textId="1D5EEB70"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06" w:history="1">
        <w:r w:rsidRPr="00614EF9">
          <w:rPr>
            <w:rStyle w:val="Lienhypertexte"/>
            <w:rFonts w:ascii="Century Gothic" w:hAnsi="Century Gothic"/>
            <w:noProof/>
            <w:sz w:val="18"/>
            <w:szCs w:val="18"/>
            <w:lang w:val="fr-FR"/>
          </w:rPr>
          <w:t>5.3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Coexistence temporaire et gestion des brouillages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69A5D057" w14:textId="3C7DCB4F"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07" w:history="1">
        <w:r w:rsidRPr="00614EF9">
          <w:rPr>
            <w:rStyle w:val="Lienhypertexte"/>
            <w:rFonts w:ascii="Century Gothic" w:hAnsi="Century Gothic"/>
            <w:noProof/>
            <w:sz w:val="18"/>
            <w:szCs w:val="18"/>
            <w:lang w:val="fr-FR"/>
          </w:rPr>
          <w:t>5.3.1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radiodiffusion télévisuelle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19368FB2" w14:textId="0333190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08" w:history="1">
        <w:r w:rsidRPr="00614EF9">
          <w:rPr>
            <w:rStyle w:val="Lienhypertexte"/>
            <w:rFonts w:ascii="Century Gothic" w:hAnsi="Century Gothic"/>
            <w:noProof/>
            <w:sz w:val="18"/>
            <w:szCs w:val="18"/>
            <w:lang w:val="fr-FR"/>
          </w:rPr>
          <w:t>5.3.2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radiodiffusion et du service mobile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5D335D54" w14:textId="19769966"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09" w:history="1">
        <w:r w:rsidRPr="00614EF9">
          <w:rPr>
            <w:rStyle w:val="Lienhypertexte"/>
            <w:rFonts w:ascii="Century Gothic" w:hAnsi="Century Gothic"/>
            <w:noProof/>
            <w:sz w:val="18"/>
            <w:szCs w:val="18"/>
            <w:lang w:val="fr-FR"/>
          </w:rPr>
          <w:t>5.3.3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Cas de la protection des stations terriennes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_Toc240614409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16904C2A" w14:textId="36123FDE"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10" w:history="1">
        <w:r w:rsidRPr="00614EF9">
          <w:rPr>
            <w:rStyle w:val="Lienhypertexte"/>
            <w:rFonts w:ascii="Century Gothic" w:hAnsi="Century Gothic"/>
            <w:noProof/>
            <w:sz w:val="18"/>
            <w:szCs w:val="18"/>
            <w:lang w:val="fr-FR"/>
          </w:rPr>
          <w:t>5.3.4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Traitement des brouillages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38C6A945" w14:textId="0950B0A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11" w:history="1">
        <w:r w:rsidRPr="00614EF9">
          <w:rPr>
            <w:rStyle w:val="Lienhypertexte"/>
            <w:rFonts w:ascii="Century Gothic" w:hAnsi="Century Gothic"/>
            <w:noProof/>
            <w:sz w:val="18"/>
            <w:szCs w:val="18"/>
            <w:lang w:val="fr-FR"/>
          </w:rPr>
          <w:t>5.4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Constat de libération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25</w:t>
        </w:r>
        <w:r w:rsidRPr="00614EF9">
          <w:rPr>
            <w:rFonts w:ascii="Century Gothic" w:hAnsi="Century Gothic"/>
            <w:noProof/>
            <w:webHidden/>
            <w:sz w:val="18"/>
            <w:szCs w:val="18"/>
          </w:rPr>
          <w:fldChar w:fldCharType="end"/>
        </w:r>
      </w:hyperlink>
    </w:p>
    <w:p w14:paraId="385896E1" w14:textId="6FA055CE"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12" w:history="1">
        <w:r w:rsidRPr="00614EF9">
          <w:rPr>
            <w:rStyle w:val="Lienhypertexte"/>
            <w:rFonts w:ascii="Century Gothic" w:hAnsi="Century Gothic"/>
            <w:noProof/>
            <w:sz w:val="18"/>
            <w:szCs w:val="18"/>
            <w:lang w:val="fr-FR"/>
          </w:rPr>
          <w:t>5.5</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Mesures en cas de non-respect</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26</w:t>
        </w:r>
        <w:r w:rsidRPr="00614EF9">
          <w:rPr>
            <w:rFonts w:ascii="Century Gothic" w:hAnsi="Century Gothic"/>
            <w:noProof/>
            <w:webHidden/>
            <w:sz w:val="18"/>
            <w:szCs w:val="18"/>
          </w:rPr>
          <w:fldChar w:fldCharType="end"/>
        </w:r>
      </w:hyperlink>
    </w:p>
    <w:p w14:paraId="39A11546" w14:textId="355C4FCE"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13" w:history="1">
        <w:r w:rsidRPr="00614EF9">
          <w:rPr>
            <w:rStyle w:val="Lienhypertexte"/>
            <w:rFonts w:ascii="Century Gothic" w:hAnsi="Century Gothic"/>
            <w:noProof/>
            <w:sz w:val="18"/>
            <w:szCs w:val="18"/>
            <w:lang w:val="fr-FR"/>
          </w:rPr>
          <w:t>6</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Accompagnement technique et financier</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73B9E89B" w14:textId="2C55A9D1"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14" w:history="1">
        <w:r w:rsidRPr="00614EF9">
          <w:rPr>
            <w:rStyle w:val="Lienhypertexte"/>
            <w:rFonts w:ascii="Century Gothic" w:hAnsi="Century Gothic"/>
            <w:noProof/>
            <w:sz w:val="18"/>
            <w:szCs w:val="18"/>
            <w:lang w:val="fr-FR"/>
          </w:rPr>
          <w:t>6.1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Mécanisme de financement</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3E1D7BC5" w14:textId="0EEA4A61"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15" w:history="1">
        <w:r w:rsidRPr="00614EF9">
          <w:rPr>
            <w:rStyle w:val="Lienhypertexte"/>
            <w:rFonts w:ascii="Century Gothic" w:hAnsi="Century Gothic"/>
            <w:noProof/>
            <w:sz w:val="18"/>
            <w:szCs w:val="18"/>
            <w:lang w:val="fr-FR"/>
          </w:rPr>
          <w:t>6.1.1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Orientation retenue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0C21F8FB" w14:textId="26F37F76"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16" w:history="1">
        <w:r w:rsidRPr="00614EF9">
          <w:rPr>
            <w:rStyle w:val="Lienhypertexte"/>
            <w:rFonts w:ascii="Century Gothic" w:hAnsi="Century Gothic"/>
            <w:noProof/>
            <w:sz w:val="18"/>
            <w:szCs w:val="18"/>
            <w:lang w:val="fr-FR"/>
          </w:rPr>
          <w:t>6.1.2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Gouvernance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0E596272" w14:textId="2660B059"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17" w:history="1">
        <w:r w:rsidRPr="00614EF9">
          <w:rPr>
            <w:rStyle w:val="Lienhypertexte"/>
            <w:rFonts w:ascii="Century Gothic" w:hAnsi="Century Gothic"/>
            <w:noProof/>
            <w:sz w:val="18"/>
            <w:szCs w:val="18"/>
            <w:lang w:val="fr-FR"/>
          </w:rPr>
          <w:t>6.1.3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Séquencement des ressources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162257CE" w14:textId="00422F7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18" w:history="1">
        <w:r w:rsidRPr="00614EF9">
          <w:rPr>
            <w:rStyle w:val="Lienhypertexte"/>
            <w:rFonts w:ascii="Century Gothic" w:hAnsi="Century Gothic"/>
            <w:noProof/>
            <w:sz w:val="18"/>
            <w:szCs w:val="18"/>
            <w:lang w:val="fr-FR"/>
          </w:rPr>
          <w:t>6.1.4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Demande de rétribution du dividende numérique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27</w:t>
        </w:r>
        <w:r w:rsidRPr="00614EF9">
          <w:rPr>
            <w:rFonts w:ascii="Century Gothic" w:hAnsi="Century Gothic"/>
            <w:noProof/>
            <w:webHidden/>
            <w:sz w:val="18"/>
            <w:szCs w:val="18"/>
          </w:rPr>
          <w:fldChar w:fldCharType="end"/>
        </w:r>
      </w:hyperlink>
    </w:p>
    <w:p w14:paraId="3E8F29A4" w14:textId="6F7E8729"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19" w:history="1">
        <w:r w:rsidRPr="00614EF9">
          <w:rPr>
            <w:rStyle w:val="Lienhypertexte"/>
            <w:rFonts w:ascii="Century Gothic" w:hAnsi="Century Gothic"/>
            <w:noProof/>
            <w:sz w:val="18"/>
            <w:szCs w:val="18"/>
            <w:lang w:val="fr-FR"/>
          </w:rPr>
          <w:t>6.2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Évaluation des coûts et indemnisation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_Toc240614419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28</w:t>
        </w:r>
        <w:r w:rsidRPr="00614EF9">
          <w:rPr>
            <w:rFonts w:ascii="Century Gothic" w:hAnsi="Century Gothic"/>
            <w:noProof/>
            <w:webHidden/>
            <w:sz w:val="18"/>
            <w:szCs w:val="18"/>
          </w:rPr>
          <w:fldChar w:fldCharType="end"/>
        </w:r>
      </w:hyperlink>
    </w:p>
    <w:p w14:paraId="153D4E13" w14:textId="2A1B091F"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20" w:history="1">
        <w:r w:rsidRPr="00614EF9">
          <w:rPr>
            <w:rStyle w:val="Lienhypertexte"/>
            <w:rFonts w:ascii="Century Gothic" w:hAnsi="Century Gothic"/>
            <w:noProof/>
            <w:sz w:val="18"/>
            <w:szCs w:val="18"/>
            <w:lang w:val="fr-FR"/>
          </w:rPr>
          <w:t>6.2.1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Catégories de coûts éligibles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28</w:t>
        </w:r>
        <w:r w:rsidRPr="00614EF9">
          <w:rPr>
            <w:rFonts w:ascii="Century Gothic" w:hAnsi="Century Gothic"/>
            <w:noProof/>
            <w:webHidden/>
            <w:sz w:val="18"/>
            <w:szCs w:val="18"/>
          </w:rPr>
          <w:fldChar w:fldCharType="end"/>
        </w:r>
      </w:hyperlink>
    </w:p>
    <w:p w14:paraId="6BE8EC0B" w14:textId="58CAFFAF"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21" w:history="1">
        <w:r w:rsidRPr="00614EF9">
          <w:rPr>
            <w:rStyle w:val="Lienhypertexte"/>
            <w:rFonts w:ascii="Century Gothic" w:hAnsi="Century Gothic"/>
            <w:noProof/>
            <w:sz w:val="18"/>
            <w:szCs w:val="18"/>
            <w:lang w:val="fr-FR"/>
          </w:rPr>
          <w:t>6.2.2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Méthodologie d'évaluation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28</w:t>
        </w:r>
        <w:r w:rsidRPr="00614EF9">
          <w:rPr>
            <w:rFonts w:ascii="Century Gothic" w:hAnsi="Century Gothic"/>
            <w:noProof/>
            <w:webHidden/>
            <w:sz w:val="18"/>
            <w:szCs w:val="18"/>
          </w:rPr>
          <w:fldChar w:fldCharType="end"/>
        </w:r>
      </w:hyperlink>
    </w:p>
    <w:p w14:paraId="61B4443A" w14:textId="5B3E72A3"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22" w:history="1">
        <w:r w:rsidRPr="00614EF9">
          <w:rPr>
            <w:rStyle w:val="Lienhypertexte"/>
            <w:rFonts w:ascii="Century Gothic" w:hAnsi="Century Gothic"/>
            <w:noProof/>
            <w:lang w:val="fr-FR"/>
          </w:rPr>
          <w:t>6.2.2.1</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Coûts déclarés</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_Toc240614422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28</w:t>
        </w:r>
        <w:r w:rsidRPr="00614EF9">
          <w:rPr>
            <w:rFonts w:ascii="Century Gothic" w:hAnsi="Century Gothic"/>
            <w:noProof/>
            <w:webHidden/>
          </w:rPr>
          <w:fldChar w:fldCharType="end"/>
        </w:r>
      </w:hyperlink>
    </w:p>
    <w:p w14:paraId="5BAA4401" w14:textId="237FC151"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23" w:history="1">
        <w:r w:rsidRPr="00614EF9">
          <w:rPr>
            <w:rStyle w:val="Lienhypertexte"/>
            <w:rFonts w:ascii="Century Gothic" w:hAnsi="Century Gothic"/>
            <w:noProof/>
            <w:lang w:val="fr-FR"/>
          </w:rPr>
          <w:t>6.2.2.2</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Durée d'amortissement de référence</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_Toc240614423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28</w:t>
        </w:r>
        <w:r w:rsidRPr="00614EF9">
          <w:rPr>
            <w:rFonts w:ascii="Century Gothic" w:hAnsi="Century Gothic"/>
            <w:noProof/>
            <w:webHidden/>
          </w:rPr>
          <w:fldChar w:fldCharType="end"/>
        </w:r>
      </w:hyperlink>
    </w:p>
    <w:p w14:paraId="2DFFB986" w14:textId="782E193F"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24" w:history="1">
        <w:r w:rsidRPr="00614EF9">
          <w:rPr>
            <w:rStyle w:val="Lienhypertexte"/>
            <w:rFonts w:ascii="Century Gothic" w:hAnsi="Century Gothic"/>
            <w:noProof/>
            <w:lang w:val="fr-FR"/>
          </w:rPr>
          <w:t>6.2.2.3</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Procédure</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_Toc240614424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29</w:t>
        </w:r>
        <w:r w:rsidRPr="00614EF9">
          <w:rPr>
            <w:rFonts w:ascii="Century Gothic" w:hAnsi="Century Gothic"/>
            <w:noProof/>
            <w:webHidden/>
          </w:rPr>
          <w:fldChar w:fldCharType="end"/>
        </w:r>
      </w:hyperlink>
    </w:p>
    <w:p w14:paraId="467D1761" w14:textId="3EE4D107"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25" w:history="1">
        <w:r w:rsidRPr="00614EF9">
          <w:rPr>
            <w:rStyle w:val="Lienhypertexte"/>
            <w:rFonts w:ascii="Century Gothic" w:hAnsi="Century Gothic"/>
            <w:noProof/>
            <w:lang w:val="fr-FR"/>
          </w:rPr>
          <w:t>6.2.2.4</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Garanties de la procédure</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_Toc240614425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29</w:t>
        </w:r>
        <w:r w:rsidRPr="00614EF9">
          <w:rPr>
            <w:rFonts w:ascii="Century Gothic" w:hAnsi="Century Gothic"/>
            <w:noProof/>
            <w:webHidden/>
          </w:rPr>
          <w:fldChar w:fldCharType="end"/>
        </w:r>
      </w:hyperlink>
    </w:p>
    <w:p w14:paraId="47F6CBF0" w14:textId="5EB9265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26" w:history="1">
        <w:r w:rsidRPr="00614EF9">
          <w:rPr>
            <w:rStyle w:val="Lienhypertexte"/>
            <w:rFonts w:ascii="Century Gothic" w:hAnsi="Century Gothic"/>
            <w:noProof/>
            <w:sz w:val="18"/>
            <w:szCs w:val="18"/>
            <w:lang w:val="fr-FR"/>
          </w:rPr>
          <w:t>6.2.3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Éligibilité des droits de fréquences non consommés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29</w:t>
        </w:r>
        <w:r w:rsidRPr="00614EF9">
          <w:rPr>
            <w:rFonts w:ascii="Century Gothic" w:hAnsi="Century Gothic"/>
            <w:noProof/>
            <w:webHidden/>
            <w:sz w:val="18"/>
            <w:szCs w:val="18"/>
          </w:rPr>
          <w:fldChar w:fldCharType="end"/>
        </w:r>
      </w:hyperlink>
    </w:p>
    <w:p w14:paraId="61FA9F03" w14:textId="61A18997"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27" w:history="1">
        <w:r w:rsidRPr="00614EF9">
          <w:rPr>
            <w:rStyle w:val="Lienhypertexte"/>
            <w:rFonts w:ascii="Century Gothic" w:hAnsi="Century Gothic"/>
            <w:noProof/>
            <w:sz w:val="18"/>
            <w:szCs w:val="18"/>
            <w:lang w:val="fr-FR"/>
          </w:rPr>
          <w:t>6.3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Soutien technique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29</w:t>
        </w:r>
        <w:r w:rsidRPr="00614EF9">
          <w:rPr>
            <w:rFonts w:ascii="Century Gothic" w:hAnsi="Century Gothic"/>
            <w:noProof/>
            <w:webHidden/>
            <w:sz w:val="18"/>
            <w:szCs w:val="18"/>
          </w:rPr>
          <w:fldChar w:fldCharType="end"/>
        </w:r>
      </w:hyperlink>
    </w:p>
    <w:p w14:paraId="66B31459" w14:textId="596B4131"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28" w:history="1">
        <w:r w:rsidRPr="00614EF9">
          <w:rPr>
            <w:rStyle w:val="Lienhypertexte"/>
            <w:rFonts w:ascii="Century Gothic" w:hAnsi="Century Gothic"/>
            <w:noProof/>
            <w:sz w:val="18"/>
            <w:szCs w:val="18"/>
            <w:lang w:val="fr-FR"/>
          </w:rPr>
          <w:t>6.4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Incitations à l’adoption des nouvelles technologies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29</w:t>
        </w:r>
        <w:r w:rsidRPr="00614EF9">
          <w:rPr>
            <w:rFonts w:ascii="Century Gothic" w:hAnsi="Century Gothic"/>
            <w:noProof/>
            <w:webHidden/>
            <w:sz w:val="18"/>
            <w:szCs w:val="18"/>
          </w:rPr>
          <w:fldChar w:fldCharType="end"/>
        </w:r>
      </w:hyperlink>
    </w:p>
    <w:p w14:paraId="7F208780" w14:textId="21E06D3F"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29" w:history="1">
        <w:r w:rsidRPr="00614EF9">
          <w:rPr>
            <w:rStyle w:val="Lienhypertexte"/>
            <w:rFonts w:ascii="Century Gothic" w:hAnsi="Century Gothic"/>
            <w:noProof/>
            <w:sz w:val="18"/>
            <w:szCs w:val="18"/>
            <w:lang w:val="fr-FR"/>
          </w:rPr>
          <w:t>7</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Réallocation des bandes libérées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_Toc240614429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30</w:t>
        </w:r>
        <w:r w:rsidRPr="00614EF9">
          <w:rPr>
            <w:rFonts w:ascii="Century Gothic" w:hAnsi="Century Gothic"/>
            <w:noProof/>
            <w:webHidden/>
            <w:sz w:val="18"/>
            <w:szCs w:val="18"/>
          </w:rPr>
          <w:fldChar w:fldCharType="end"/>
        </w:r>
      </w:hyperlink>
    </w:p>
    <w:p w14:paraId="1DFB2C4B" w14:textId="625C1A87"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0" w:history="1">
        <w:r w:rsidRPr="00614EF9">
          <w:rPr>
            <w:rStyle w:val="Lienhypertexte"/>
            <w:rFonts w:ascii="Century Gothic" w:hAnsi="Century Gothic"/>
            <w:noProof/>
            <w:sz w:val="18"/>
            <w:szCs w:val="18"/>
            <w:lang w:val="fr-FR"/>
          </w:rPr>
          <w:t>7.1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Critères de priorisation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30</w:t>
        </w:r>
        <w:r w:rsidRPr="00614EF9">
          <w:rPr>
            <w:rFonts w:ascii="Century Gothic" w:hAnsi="Century Gothic"/>
            <w:noProof/>
            <w:webHidden/>
            <w:sz w:val="18"/>
            <w:szCs w:val="18"/>
          </w:rPr>
          <w:fldChar w:fldCharType="end"/>
        </w:r>
      </w:hyperlink>
    </w:p>
    <w:p w14:paraId="47DEF736" w14:textId="689F697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1" w:history="1">
        <w:r w:rsidRPr="00614EF9">
          <w:rPr>
            <w:rStyle w:val="Lienhypertexte"/>
            <w:rFonts w:ascii="Century Gothic" w:hAnsi="Century Gothic"/>
            <w:noProof/>
            <w:sz w:val="18"/>
            <w:szCs w:val="18"/>
            <w:lang w:val="fr-FR"/>
          </w:rPr>
          <w:t>7.2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Mécanismes d’attribution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30</w:t>
        </w:r>
        <w:r w:rsidRPr="00614EF9">
          <w:rPr>
            <w:rFonts w:ascii="Century Gothic" w:hAnsi="Century Gothic"/>
            <w:noProof/>
            <w:webHidden/>
            <w:sz w:val="18"/>
            <w:szCs w:val="18"/>
          </w:rPr>
          <w:fldChar w:fldCharType="end"/>
        </w:r>
      </w:hyperlink>
    </w:p>
    <w:p w14:paraId="4FBEB4C6" w14:textId="6E301E88"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2" w:history="1">
        <w:r w:rsidRPr="00614EF9">
          <w:rPr>
            <w:rStyle w:val="Lienhypertexte"/>
            <w:rFonts w:ascii="Century Gothic" w:hAnsi="Century Gothic"/>
            <w:noProof/>
            <w:sz w:val="18"/>
            <w:szCs w:val="18"/>
            <w:lang w:val="fr-FR"/>
          </w:rPr>
          <w:t>7.3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Conditions de mise en service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31</w:t>
        </w:r>
        <w:r w:rsidRPr="00614EF9">
          <w:rPr>
            <w:rFonts w:ascii="Century Gothic" w:hAnsi="Century Gothic"/>
            <w:noProof/>
            <w:webHidden/>
            <w:sz w:val="18"/>
            <w:szCs w:val="18"/>
          </w:rPr>
          <w:fldChar w:fldCharType="end"/>
        </w:r>
      </w:hyperlink>
    </w:p>
    <w:p w14:paraId="6229E7D2" w14:textId="393308EE"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3" w:history="1">
        <w:r w:rsidRPr="00614EF9">
          <w:rPr>
            <w:rStyle w:val="Lienhypertexte"/>
            <w:rFonts w:ascii="Century Gothic" w:hAnsi="Century Gothic"/>
            <w:noProof/>
            <w:sz w:val="18"/>
            <w:szCs w:val="18"/>
            <w:lang w:val="fr-FR"/>
          </w:rPr>
          <w:t>7.4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Rappel des besoins de spectre exprimés lors de la consultation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32</w:t>
        </w:r>
        <w:r w:rsidRPr="00614EF9">
          <w:rPr>
            <w:rFonts w:ascii="Century Gothic" w:hAnsi="Century Gothic"/>
            <w:noProof/>
            <w:webHidden/>
            <w:sz w:val="18"/>
            <w:szCs w:val="18"/>
          </w:rPr>
          <w:fldChar w:fldCharType="end"/>
        </w:r>
      </w:hyperlink>
    </w:p>
    <w:p w14:paraId="7CAF3F99" w14:textId="62C00561"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34" w:history="1">
        <w:r w:rsidRPr="00614EF9">
          <w:rPr>
            <w:rStyle w:val="Lienhypertexte"/>
            <w:rFonts w:ascii="Century Gothic" w:hAnsi="Century Gothic"/>
            <w:noProof/>
            <w:sz w:val="18"/>
            <w:szCs w:val="18"/>
            <w:lang w:val="fr-FR"/>
          </w:rPr>
          <w:t>8</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Calendrier de mise en œuvre 2027-2029</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33</w:t>
        </w:r>
        <w:r w:rsidRPr="00614EF9">
          <w:rPr>
            <w:rFonts w:ascii="Century Gothic" w:hAnsi="Century Gothic"/>
            <w:noProof/>
            <w:webHidden/>
            <w:sz w:val="18"/>
            <w:szCs w:val="18"/>
          </w:rPr>
          <w:fldChar w:fldCharType="end"/>
        </w:r>
      </w:hyperlink>
    </w:p>
    <w:p w14:paraId="6A27C864" w14:textId="1752DB2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5" w:history="1">
        <w:r w:rsidRPr="00614EF9">
          <w:rPr>
            <w:rStyle w:val="Lienhypertexte"/>
            <w:rFonts w:ascii="Century Gothic" w:hAnsi="Century Gothic"/>
            <w:noProof/>
            <w:sz w:val="18"/>
            <w:szCs w:val="18"/>
            <w:lang w:val="fr-FR"/>
          </w:rPr>
          <w:t>8.1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Chronologie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33</w:t>
        </w:r>
        <w:r w:rsidRPr="00614EF9">
          <w:rPr>
            <w:rFonts w:ascii="Century Gothic" w:hAnsi="Century Gothic"/>
            <w:noProof/>
            <w:webHidden/>
            <w:sz w:val="18"/>
            <w:szCs w:val="18"/>
          </w:rPr>
          <w:fldChar w:fldCharType="end"/>
        </w:r>
      </w:hyperlink>
    </w:p>
    <w:p w14:paraId="133F8F41" w14:textId="6AF222B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36" w:history="1">
        <w:r w:rsidRPr="00614EF9">
          <w:rPr>
            <w:rStyle w:val="Lienhypertexte"/>
            <w:rFonts w:ascii="Century Gothic" w:hAnsi="Century Gothic"/>
            <w:noProof/>
            <w:sz w:val="18"/>
            <w:szCs w:val="18"/>
            <w:lang w:val="fr-FR"/>
          </w:rPr>
          <w:t>8.1.1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Ordre retenu</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33</w:t>
        </w:r>
        <w:r w:rsidRPr="00614EF9">
          <w:rPr>
            <w:rFonts w:ascii="Century Gothic" w:hAnsi="Century Gothic"/>
            <w:noProof/>
            <w:webHidden/>
            <w:sz w:val="18"/>
            <w:szCs w:val="18"/>
          </w:rPr>
          <w:fldChar w:fldCharType="end"/>
        </w:r>
      </w:hyperlink>
    </w:p>
    <w:p w14:paraId="08676BCF" w14:textId="66AE10A5"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37" w:history="1">
        <w:r w:rsidRPr="00614EF9">
          <w:rPr>
            <w:rStyle w:val="Lienhypertexte"/>
            <w:rFonts w:ascii="Century Gothic" w:hAnsi="Century Gothic"/>
            <w:noProof/>
            <w:sz w:val="18"/>
            <w:szCs w:val="18"/>
            <w:lang w:val="fr-FR"/>
          </w:rPr>
          <w:t>8.1.2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Contrainte de calendrier</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33</w:t>
        </w:r>
        <w:r w:rsidRPr="00614EF9">
          <w:rPr>
            <w:rFonts w:ascii="Century Gothic" w:hAnsi="Century Gothic"/>
            <w:noProof/>
            <w:webHidden/>
            <w:sz w:val="18"/>
            <w:szCs w:val="18"/>
          </w:rPr>
          <w:fldChar w:fldCharType="end"/>
        </w:r>
      </w:hyperlink>
    </w:p>
    <w:p w14:paraId="029FAAB6" w14:textId="1F4DC39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38" w:history="1">
        <w:r w:rsidRPr="00614EF9">
          <w:rPr>
            <w:rStyle w:val="Lienhypertexte"/>
            <w:rFonts w:ascii="Century Gothic" w:hAnsi="Century Gothic"/>
            <w:noProof/>
            <w:sz w:val="18"/>
            <w:szCs w:val="18"/>
            <w:lang w:val="fr-FR"/>
          </w:rPr>
          <w:t>8.1.3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Indépendance des calendriers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34</w:t>
        </w:r>
        <w:r w:rsidRPr="00614EF9">
          <w:rPr>
            <w:rFonts w:ascii="Century Gothic" w:hAnsi="Century Gothic"/>
            <w:noProof/>
            <w:webHidden/>
            <w:sz w:val="18"/>
            <w:szCs w:val="18"/>
          </w:rPr>
          <w:fldChar w:fldCharType="end"/>
        </w:r>
      </w:hyperlink>
    </w:p>
    <w:p w14:paraId="4264B8AC" w14:textId="41CCB1BD"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39" w:history="1">
        <w:r w:rsidRPr="00614EF9">
          <w:rPr>
            <w:rStyle w:val="Lienhypertexte"/>
            <w:rFonts w:ascii="Century Gothic" w:hAnsi="Century Gothic"/>
            <w:noProof/>
            <w:sz w:val="18"/>
            <w:szCs w:val="18"/>
            <w:lang w:val="fr-FR"/>
          </w:rPr>
          <w:t>8.2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Phases et jalons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_Toc240614439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34</w:t>
        </w:r>
        <w:r w:rsidRPr="00614EF9">
          <w:rPr>
            <w:rFonts w:ascii="Century Gothic" w:hAnsi="Century Gothic"/>
            <w:noProof/>
            <w:webHidden/>
            <w:sz w:val="18"/>
            <w:szCs w:val="18"/>
          </w:rPr>
          <w:fldChar w:fldCharType="end"/>
        </w:r>
      </w:hyperlink>
    </w:p>
    <w:p w14:paraId="2D0D6CF0" w14:textId="490C7851"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40" w:history="1">
        <w:r w:rsidRPr="00614EF9">
          <w:rPr>
            <w:rStyle w:val="Lienhypertexte"/>
            <w:rFonts w:ascii="Century Gothic" w:hAnsi="Century Gothic"/>
            <w:noProof/>
            <w:sz w:val="18"/>
            <w:szCs w:val="18"/>
            <w:lang w:val="fr-FR"/>
          </w:rPr>
          <w:t>8.2.1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Phases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34</w:t>
        </w:r>
        <w:r w:rsidRPr="00614EF9">
          <w:rPr>
            <w:rFonts w:ascii="Century Gothic" w:hAnsi="Century Gothic"/>
            <w:noProof/>
            <w:webHidden/>
            <w:sz w:val="18"/>
            <w:szCs w:val="18"/>
          </w:rPr>
          <w:fldChar w:fldCharType="end"/>
        </w:r>
      </w:hyperlink>
    </w:p>
    <w:p w14:paraId="7719047B" w14:textId="0BCA26A2"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41" w:history="1">
        <w:r w:rsidRPr="00614EF9">
          <w:rPr>
            <w:rStyle w:val="Lienhypertexte"/>
            <w:rFonts w:ascii="Century Gothic" w:hAnsi="Century Gothic"/>
            <w:noProof/>
            <w:lang w:val="fr-FR"/>
          </w:rPr>
          <w:t>8.2.1.1</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Phase préparatoire, 2026 :</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_Toc240614441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34</w:t>
        </w:r>
        <w:r w:rsidRPr="00614EF9">
          <w:rPr>
            <w:rFonts w:ascii="Century Gothic" w:hAnsi="Century Gothic"/>
            <w:noProof/>
            <w:webHidden/>
          </w:rPr>
          <w:fldChar w:fldCharType="end"/>
        </w:r>
      </w:hyperlink>
    </w:p>
    <w:p w14:paraId="15CDE5F6" w14:textId="1BB7BB83"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42" w:history="1">
        <w:r w:rsidRPr="00614EF9">
          <w:rPr>
            <w:rStyle w:val="Lienhypertexte"/>
            <w:rFonts w:ascii="Century Gothic" w:hAnsi="Century Gothic"/>
            <w:noProof/>
            <w:lang w:val="fr-FR"/>
          </w:rPr>
          <w:t>8.2.1.2</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Phase 1, Notification et ingénierie (2027) :</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_Toc240614442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34</w:t>
        </w:r>
        <w:r w:rsidRPr="00614EF9">
          <w:rPr>
            <w:rFonts w:ascii="Century Gothic" w:hAnsi="Century Gothic"/>
            <w:noProof/>
            <w:webHidden/>
          </w:rPr>
          <w:fldChar w:fldCharType="end"/>
        </w:r>
      </w:hyperlink>
    </w:p>
    <w:p w14:paraId="16FBCAD6" w14:textId="387A1BFD"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43" w:history="1">
        <w:r w:rsidRPr="00614EF9">
          <w:rPr>
            <w:rStyle w:val="Lienhypertexte"/>
            <w:rFonts w:ascii="Century Gothic" w:hAnsi="Century Gothic"/>
            <w:noProof/>
            <w:lang w:val="fr-FR"/>
          </w:rPr>
          <w:t>8.2.1.3</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Phase 2, Libération et migration (2027-2028) :</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_Toc240614443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34</w:t>
        </w:r>
        <w:r w:rsidRPr="00614EF9">
          <w:rPr>
            <w:rFonts w:ascii="Century Gothic" w:hAnsi="Century Gothic"/>
            <w:noProof/>
            <w:webHidden/>
          </w:rPr>
          <w:fldChar w:fldCharType="end"/>
        </w:r>
      </w:hyperlink>
    </w:p>
    <w:p w14:paraId="54A13D9F" w14:textId="23E58444" w:rsidR="00614EF9" w:rsidRPr="00614EF9" w:rsidRDefault="00614EF9" w:rsidP="00614EF9">
      <w:pPr>
        <w:pStyle w:val="TM4"/>
        <w:tabs>
          <w:tab w:val="left" w:pos="1540"/>
          <w:tab w:val="right" w:leader="dot" w:pos="9628"/>
        </w:tabs>
        <w:spacing w:before="40" w:after="40"/>
        <w:rPr>
          <w:rFonts w:ascii="Century Gothic" w:eastAsiaTheme="minorEastAsia" w:hAnsi="Century Gothic" w:cstheme="minorBidi"/>
          <w:noProof/>
          <w:kern w:val="2"/>
          <w14:ligatures w14:val="standardContextual"/>
        </w:rPr>
      </w:pPr>
      <w:hyperlink w:anchor="_Toc240614444" w:history="1">
        <w:r w:rsidRPr="00614EF9">
          <w:rPr>
            <w:rStyle w:val="Lienhypertexte"/>
            <w:rFonts w:ascii="Century Gothic" w:hAnsi="Century Gothic"/>
            <w:noProof/>
            <w:lang w:val="fr-FR"/>
          </w:rPr>
          <w:t>8.2.1.4</w:t>
        </w:r>
        <w:r w:rsidRPr="00614EF9">
          <w:rPr>
            <w:rFonts w:ascii="Century Gothic" w:eastAsiaTheme="minorEastAsia" w:hAnsi="Century Gothic" w:cstheme="minorBidi"/>
            <w:noProof/>
            <w:kern w:val="2"/>
            <w14:ligatures w14:val="standardContextual"/>
          </w:rPr>
          <w:tab/>
        </w:r>
        <w:r w:rsidRPr="00614EF9">
          <w:rPr>
            <w:rStyle w:val="Lienhypertexte"/>
            <w:rFonts w:ascii="Century Gothic" w:hAnsi="Century Gothic"/>
            <w:noProof/>
            <w:lang w:val="fr-FR"/>
          </w:rPr>
          <w:t>Phase 3, Réallocation et mise en service (2028-2029):</w:t>
        </w:r>
        <w:r w:rsidRPr="00614EF9">
          <w:rPr>
            <w:rFonts w:ascii="Century Gothic" w:hAnsi="Century Gothic"/>
            <w:noProof/>
            <w:webHidden/>
          </w:rPr>
          <w:tab/>
        </w:r>
        <w:r w:rsidRPr="00614EF9">
          <w:rPr>
            <w:rFonts w:ascii="Century Gothic" w:hAnsi="Century Gothic"/>
            <w:noProof/>
            <w:webHidden/>
          </w:rPr>
          <w:fldChar w:fldCharType="begin"/>
        </w:r>
        <w:r w:rsidRPr="00614EF9">
          <w:rPr>
            <w:rFonts w:ascii="Century Gothic" w:hAnsi="Century Gothic"/>
            <w:noProof/>
            <w:webHidden/>
          </w:rPr>
          <w:instrText xml:space="preserve"> PAGEREF _Toc240614444 \h </w:instrText>
        </w:r>
        <w:r w:rsidRPr="00614EF9">
          <w:rPr>
            <w:rFonts w:ascii="Century Gothic" w:hAnsi="Century Gothic"/>
            <w:noProof/>
            <w:webHidden/>
          </w:rPr>
        </w:r>
        <w:r w:rsidRPr="00614EF9">
          <w:rPr>
            <w:rFonts w:ascii="Century Gothic" w:hAnsi="Century Gothic"/>
            <w:noProof/>
            <w:webHidden/>
          </w:rPr>
          <w:fldChar w:fldCharType="separate"/>
        </w:r>
        <w:r w:rsidR="0058618D">
          <w:rPr>
            <w:rFonts w:ascii="Century Gothic" w:hAnsi="Century Gothic"/>
            <w:noProof/>
            <w:webHidden/>
          </w:rPr>
          <w:t>34</w:t>
        </w:r>
        <w:r w:rsidRPr="00614EF9">
          <w:rPr>
            <w:rFonts w:ascii="Century Gothic" w:hAnsi="Century Gothic"/>
            <w:noProof/>
            <w:webHidden/>
          </w:rPr>
          <w:fldChar w:fldCharType="end"/>
        </w:r>
      </w:hyperlink>
    </w:p>
    <w:p w14:paraId="48C5DA59" w14:textId="4FB7373A"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45" w:history="1">
        <w:r w:rsidRPr="00614EF9">
          <w:rPr>
            <w:rStyle w:val="Lienhypertexte"/>
            <w:rFonts w:ascii="Century Gothic" w:hAnsi="Century Gothic"/>
            <w:noProof/>
            <w:sz w:val="18"/>
            <w:szCs w:val="18"/>
            <w:lang w:val="fr-FR"/>
          </w:rPr>
          <w:t>8.2.2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Jalons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35</w:t>
        </w:r>
        <w:r w:rsidRPr="00614EF9">
          <w:rPr>
            <w:rFonts w:ascii="Century Gothic" w:hAnsi="Century Gothic"/>
            <w:noProof/>
            <w:webHidden/>
            <w:sz w:val="18"/>
            <w:szCs w:val="18"/>
          </w:rPr>
          <w:fldChar w:fldCharType="end"/>
        </w:r>
      </w:hyperlink>
    </w:p>
    <w:p w14:paraId="69565D26" w14:textId="3736177A"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46" w:history="1">
        <w:r w:rsidRPr="00614EF9">
          <w:rPr>
            <w:rStyle w:val="Lienhypertexte"/>
            <w:rFonts w:ascii="Century Gothic" w:hAnsi="Century Gothic"/>
            <w:noProof/>
            <w:sz w:val="18"/>
            <w:szCs w:val="18"/>
            <w:lang w:val="fr-FR"/>
          </w:rPr>
          <w:t>8.2.3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Modalités de suivi</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35</w:t>
        </w:r>
        <w:r w:rsidRPr="00614EF9">
          <w:rPr>
            <w:rFonts w:ascii="Century Gothic" w:hAnsi="Century Gothic"/>
            <w:noProof/>
            <w:webHidden/>
            <w:sz w:val="18"/>
            <w:szCs w:val="18"/>
          </w:rPr>
          <w:fldChar w:fldCharType="end"/>
        </w:r>
      </w:hyperlink>
    </w:p>
    <w:p w14:paraId="31406C53" w14:textId="4046BAFD"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47" w:history="1">
        <w:r w:rsidRPr="00614EF9">
          <w:rPr>
            <w:rStyle w:val="Lienhypertexte"/>
            <w:rFonts w:ascii="Century Gothic" w:hAnsi="Century Gothic"/>
            <w:noProof/>
            <w:sz w:val="18"/>
            <w:szCs w:val="18"/>
            <w:lang w:val="fr-FR"/>
          </w:rPr>
          <w:t>8.3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Trajectoire préparatoire du volet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35</w:t>
        </w:r>
        <w:r w:rsidRPr="00614EF9">
          <w:rPr>
            <w:rFonts w:ascii="Century Gothic" w:hAnsi="Century Gothic"/>
            <w:noProof/>
            <w:webHidden/>
            <w:sz w:val="18"/>
            <w:szCs w:val="18"/>
          </w:rPr>
          <w:fldChar w:fldCharType="end"/>
        </w:r>
      </w:hyperlink>
    </w:p>
    <w:p w14:paraId="0F8866C0" w14:textId="09006051"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48" w:history="1">
        <w:r w:rsidRPr="00614EF9">
          <w:rPr>
            <w:rStyle w:val="Lienhypertexte"/>
            <w:rFonts w:ascii="Century Gothic" w:hAnsi="Century Gothic"/>
            <w:noProof/>
            <w:sz w:val="18"/>
            <w:szCs w:val="18"/>
            <w:lang w:val="fr-FR"/>
          </w:rPr>
          <w:t>8.4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Chronogramme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35</w:t>
        </w:r>
        <w:r w:rsidRPr="00614EF9">
          <w:rPr>
            <w:rFonts w:ascii="Century Gothic" w:hAnsi="Century Gothic"/>
            <w:noProof/>
            <w:webHidden/>
            <w:sz w:val="18"/>
            <w:szCs w:val="18"/>
          </w:rPr>
          <w:fldChar w:fldCharType="end"/>
        </w:r>
      </w:hyperlink>
    </w:p>
    <w:p w14:paraId="7EDA88DF" w14:textId="6F1E2878" w:rsidR="00614EF9" w:rsidRPr="00614EF9" w:rsidRDefault="00614EF9" w:rsidP="00614EF9">
      <w:pPr>
        <w:pStyle w:val="TM1"/>
        <w:tabs>
          <w:tab w:val="left" w:pos="44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49" w:history="1">
        <w:r w:rsidRPr="00614EF9">
          <w:rPr>
            <w:rStyle w:val="Lienhypertexte"/>
            <w:rFonts w:ascii="Century Gothic" w:hAnsi="Century Gothic"/>
            <w:noProof/>
            <w:sz w:val="18"/>
            <w:szCs w:val="18"/>
            <w:lang w:val="fr-FR"/>
          </w:rPr>
          <w:t>9</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Risques, suivi-évaluation et révision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_Toc240614449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37</w:t>
        </w:r>
        <w:r w:rsidRPr="00614EF9">
          <w:rPr>
            <w:rFonts w:ascii="Century Gothic" w:hAnsi="Century Gothic"/>
            <w:noProof/>
            <w:webHidden/>
            <w:sz w:val="18"/>
            <w:szCs w:val="18"/>
          </w:rPr>
          <w:fldChar w:fldCharType="end"/>
        </w:r>
      </w:hyperlink>
    </w:p>
    <w:p w14:paraId="20C1CAE6" w14:textId="42F635E0"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50" w:history="1">
        <w:r w:rsidRPr="00614EF9">
          <w:rPr>
            <w:rStyle w:val="Lienhypertexte"/>
            <w:rFonts w:ascii="Century Gothic" w:hAnsi="Century Gothic"/>
            <w:noProof/>
            <w:sz w:val="18"/>
            <w:szCs w:val="18"/>
            <w:lang w:val="fr-FR"/>
          </w:rPr>
          <w:t>9.1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Registre des risques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37</w:t>
        </w:r>
        <w:r w:rsidRPr="00614EF9">
          <w:rPr>
            <w:rFonts w:ascii="Century Gothic" w:hAnsi="Century Gothic"/>
            <w:noProof/>
            <w:webHidden/>
            <w:sz w:val="18"/>
            <w:szCs w:val="18"/>
          </w:rPr>
          <w:fldChar w:fldCharType="end"/>
        </w:r>
      </w:hyperlink>
    </w:p>
    <w:p w14:paraId="4591A502" w14:textId="5BF81F4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51" w:history="1">
        <w:r w:rsidRPr="00614EF9">
          <w:rPr>
            <w:rStyle w:val="Lienhypertexte"/>
            <w:rFonts w:ascii="Century Gothic" w:hAnsi="Century Gothic"/>
            <w:noProof/>
            <w:sz w:val="18"/>
            <w:szCs w:val="18"/>
            <w:lang w:val="fr-FR"/>
          </w:rPr>
          <w:t>9.2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Indicateurs de suivi</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38</w:t>
        </w:r>
        <w:r w:rsidRPr="00614EF9">
          <w:rPr>
            <w:rFonts w:ascii="Century Gothic" w:hAnsi="Century Gothic"/>
            <w:noProof/>
            <w:webHidden/>
            <w:sz w:val="18"/>
            <w:szCs w:val="18"/>
          </w:rPr>
          <w:fldChar w:fldCharType="end"/>
        </w:r>
      </w:hyperlink>
    </w:p>
    <w:p w14:paraId="7F741431" w14:textId="354CE975"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52" w:history="1">
        <w:r w:rsidRPr="00614EF9">
          <w:rPr>
            <w:rStyle w:val="Lienhypertexte"/>
            <w:rFonts w:ascii="Century Gothic" w:hAnsi="Century Gothic"/>
            <w:noProof/>
            <w:sz w:val="18"/>
            <w:szCs w:val="18"/>
            <w:lang w:val="fr-FR"/>
          </w:rPr>
          <w:t>9.3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Transparence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38</w:t>
        </w:r>
        <w:r w:rsidRPr="00614EF9">
          <w:rPr>
            <w:rFonts w:ascii="Century Gothic" w:hAnsi="Century Gothic"/>
            <w:noProof/>
            <w:webHidden/>
            <w:sz w:val="18"/>
            <w:szCs w:val="18"/>
          </w:rPr>
          <w:fldChar w:fldCharType="end"/>
        </w:r>
      </w:hyperlink>
    </w:p>
    <w:p w14:paraId="23378D2B" w14:textId="79D91282"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53" w:history="1">
        <w:r w:rsidRPr="00614EF9">
          <w:rPr>
            <w:rStyle w:val="Lienhypertexte"/>
            <w:rFonts w:ascii="Century Gothic" w:hAnsi="Century Gothic"/>
            <w:noProof/>
            <w:sz w:val="18"/>
            <w:szCs w:val="18"/>
            <w:lang w:val="fr-FR"/>
          </w:rPr>
          <w:t>9.3.1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Tableau de bord trimestriel</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38</w:t>
        </w:r>
        <w:r w:rsidRPr="00614EF9">
          <w:rPr>
            <w:rFonts w:ascii="Century Gothic" w:hAnsi="Century Gothic"/>
            <w:noProof/>
            <w:webHidden/>
            <w:sz w:val="18"/>
            <w:szCs w:val="18"/>
          </w:rPr>
          <w:fldChar w:fldCharType="end"/>
        </w:r>
      </w:hyperlink>
    </w:p>
    <w:p w14:paraId="252F7DB8" w14:textId="6ECCEC07"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54" w:history="1">
        <w:r w:rsidRPr="00614EF9">
          <w:rPr>
            <w:rStyle w:val="Lienhypertexte"/>
            <w:rFonts w:ascii="Century Gothic" w:hAnsi="Century Gothic"/>
            <w:noProof/>
            <w:sz w:val="18"/>
            <w:szCs w:val="18"/>
            <w:lang w:val="fr-FR"/>
          </w:rPr>
          <w:t>9.3.2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Rapport annuel d'exécution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39</w:t>
        </w:r>
        <w:r w:rsidRPr="00614EF9">
          <w:rPr>
            <w:rFonts w:ascii="Century Gothic" w:hAnsi="Century Gothic"/>
            <w:noProof/>
            <w:webHidden/>
            <w:sz w:val="18"/>
            <w:szCs w:val="18"/>
          </w:rPr>
          <w:fldChar w:fldCharType="end"/>
        </w:r>
      </w:hyperlink>
    </w:p>
    <w:p w14:paraId="29F6C02E" w14:textId="0921158C"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55" w:history="1">
        <w:r w:rsidRPr="00614EF9">
          <w:rPr>
            <w:rStyle w:val="Lienhypertexte"/>
            <w:rFonts w:ascii="Century Gothic" w:hAnsi="Century Gothic"/>
            <w:noProof/>
            <w:sz w:val="18"/>
            <w:szCs w:val="18"/>
            <w:lang w:val="fr-FR"/>
          </w:rPr>
          <w:t>9.3.3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Information des parties prenantes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39</w:t>
        </w:r>
        <w:r w:rsidRPr="00614EF9">
          <w:rPr>
            <w:rFonts w:ascii="Century Gothic" w:hAnsi="Century Gothic"/>
            <w:noProof/>
            <w:webHidden/>
            <w:sz w:val="18"/>
            <w:szCs w:val="18"/>
          </w:rPr>
          <w:fldChar w:fldCharType="end"/>
        </w:r>
      </w:hyperlink>
    </w:p>
    <w:p w14:paraId="7A37715C" w14:textId="701312FD" w:rsidR="00614EF9" w:rsidRPr="00614EF9" w:rsidRDefault="00614EF9" w:rsidP="00614EF9">
      <w:pPr>
        <w:pStyle w:val="TM3"/>
        <w:tabs>
          <w:tab w:val="left" w:pos="110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56" w:history="1">
        <w:r w:rsidRPr="00614EF9">
          <w:rPr>
            <w:rStyle w:val="Lienhypertexte"/>
            <w:rFonts w:ascii="Century Gothic" w:hAnsi="Century Gothic"/>
            <w:noProof/>
            <w:sz w:val="18"/>
            <w:szCs w:val="18"/>
            <w:lang w:val="fr-FR"/>
          </w:rPr>
          <w:t>9.3.4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Registre du plan de transition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39</w:t>
        </w:r>
        <w:r w:rsidRPr="00614EF9">
          <w:rPr>
            <w:rFonts w:ascii="Century Gothic" w:hAnsi="Century Gothic"/>
            <w:noProof/>
            <w:webHidden/>
            <w:sz w:val="18"/>
            <w:szCs w:val="18"/>
          </w:rPr>
          <w:fldChar w:fldCharType="end"/>
        </w:r>
      </w:hyperlink>
    </w:p>
    <w:p w14:paraId="3C04CFA8" w14:textId="14984C8A"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57" w:history="1">
        <w:r w:rsidRPr="00614EF9">
          <w:rPr>
            <w:rStyle w:val="Lienhypertexte"/>
            <w:rFonts w:ascii="Century Gothic" w:hAnsi="Century Gothic"/>
            <w:noProof/>
            <w:sz w:val="18"/>
            <w:szCs w:val="18"/>
            <w:lang w:val="fr-FR"/>
          </w:rPr>
          <w:t>9.4</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Révision du plan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_Toc240614457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39</w:t>
        </w:r>
        <w:r w:rsidRPr="00614EF9">
          <w:rPr>
            <w:rFonts w:ascii="Century Gothic" w:hAnsi="Century Gothic"/>
            <w:noProof/>
            <w:webHidden/>
            <w:sz w:val="18"/>
            <w:szCs w:val="18"/>
          </w:rPr>
          <w:fldChar w:fldCharType="end"/>
        </w:r>
      </w:hyperlink>
    </w:p>
    <w:p w14:paraId="1F9F35D4" w14:textId="7633B277" w:rsidR="00614EF9" w:rsidRPr="00614EF9" w:rsidRDefault="00614EF9" w:rsidP="00614EF9">
      <w:pPr>
        <w:pStyle w:val="TM1"/>
        <w:tabs>
          <w:tab w:val="left" w:pos="66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58" w:history="1">
        <w:r w:rsidRPr="00614EF9">
          <w:rPr>
            <w:rStyle w:val="Lienhypertexte"/>
            <w:rFonts w:ascii="Century Gothic" w:hAnsi="Century Gothic"/>
            <w:noProof/>
            <w:sz w:val="18"/>
            <w:szCs w:val="18"/>
            <w:lang w:val="fr-FR"/>
          </w:rPr>
          <w:t>10</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Conclusion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_Toc240614458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40</w:t>
        </w:r>
        <w:r w:rsidRPr="00614EF9">
          <w:rPr>
            <w:rFonts w:ascii="Century Gothic" w:hAnsi="Century Gothic"/>
            <w:noProof/>
            <w:webHidden/>
            <w:sz w:val="18"/>
            <w:szCs w:val="18"/>
          </w:rPr>
          <w:fldChar w:fldCharType="end"/>
        </w:r>
      </w:hyperlink>
    </w:p>
    <w:p w14:paraId="39E0B8AB" w14:textId="7BB93733" w:rsidR="00614EF9" w:rsidRPr="00614EF9" w:rsidRDefault="00614EF9" w:rsidP="00614EF9">
      <w:pPr>
        <w:pStyle w:val="TM1"/>
        <w:tabs>
          <w:tab w:val="left" w:pos="660"/>
          <w:tab w:val="right" w:leader="dot" w:pos="9628"/>
        </w:tabs>
        <w:spacing w:before="40" w:after="40"/>
        <w:rPr>
          <w:rFonts w:ascii="Century Gothic" w:eastAsiaTheme="minorEastAsia" w:hAnsi="Century Gothic" w:cstheme="minorBidi"/>
          <w:b w:val="0"/>
          <w:bCs w:val="0"/>
          <w:caps w:val="0"/>
          <w:noProof/>
          <w:kern w:val="2"/>
          <w:sz w:val="18"/>
          <w:szCs w:val="18"/>
          <w14:ligatures w14:val="standardContextual"/>
        </w:rPr>
      </w:pPr>
      <w:hyperlink w:anchor="_Toc240614459" w:history="1">
        <w:r w:rsidRPr="00614EF9">
          <w:rPr>
            <w:rStyle w:val="Lienhypertexte"/>
            <w:rFonts w:ascii="Century Gothic" w:hAnsi="Century Gothic"/>
            <w:noProof/>
            <w:sz w:val="18"/>
            <w:szCs w:val="18"/>
            <w:lang w:val="fr-FR"/>
          </w:rPr>
          <w:t>11</w:t>
        </w:r>
        <w:r w:rsidRPr="00614EF9">
          <w:rPr>
            <w:rFonts w:ascii="Century Gothic" w:eastAsiaTheme="minorEastAsia" w:hAnsi="Century Gothic" w:cstheme="minorBidi"/>
            <w:b w:val="0"/>
            <w:bCs w:val="0"/>
            <w:caps w:val="0"/>
            <w:noProof/>
            <w:kern w:val="2"/>
            <w:sz w:val="18"/>
            <w:szCs w:val="18"/>
            <w14:ligatures w14:val="standardContextual"/>
          </w:rPr>
          <w:tab/>
        </w:r>
        <w:r w:rsidRPr="00614EF9">
          <w:rPr>
            <w:rStyle w:val="Lienhypertexte"/>
            <w:rFonts w:ascii="Century Gothic" w:hAnsi="Century Gothic"/>
            <w:noProof/>
            <w:sz w:val="18"/>
            <w:szCs w:val="18"/>
            <w:lang w:val="fr-FR"/>
          </w:rPr>
          <w:t>Annexes</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_Toc240614459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41</w:t>
        </w:r>
        <w:r w:rsidRPr="00614EF9">
          <w:rPr>
            <w:rFonts w:ascii="Century Gothic" w:hAnsi="Century Gothic"/>
            <w:noProof/>
            <w:webHidden/>
            <w:sz w:val="18"/>
            <w:szCs w:val="18"/>
          </w:rPr>
          <w:fldChar w:fldCharType="end"/>
        </w:r>
      </w:hyperlink>
    </w:p>
    <w:p w14:paraId="7D1949DD" w14:textId="50FA6946"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60" w:history="1">
        <w:r w:rsidRPr="00614EF9">
          <w:rPr>
            <w:rStyle w:val="Lienhypertexte"/>
            <w:rFonts w:ascii="Century Gothic" w:hAnsi="Century Gothic"/>
            <w:noProof/>
            <w:sz w:val="18"/>
            <w:szCs w:val="18"/>
            <w:lang w:val="fr-FR"/>
          </w:rPr>
          <w:t>11.1</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Annexe A – Tableau des bandes ayant changé d’attribution</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_Toc240614460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41</w:t>
        </w:r>
        <w:r w:rsidRPr="00614EF9">
          <w:rPr>
            <w:rFonts w:ascii="Century Gothic" w:hAnsi="Century Gothic"/>
            <w:noProof/>
            <w:webHidden/>
            <w:sz w:val="18"/>
            <w:szCs w:val="18"/>
          </w:rPr>
          <w:fldChar w:fldCharType="end"/>
        </w:r>
      </w:hyperlink>
    </w:p>
    <w:p w14:paraId="4E33AA01" w14:textId="12A62D5B"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61" w:history="1">
        <w:r w:rsidRPr="00614EF9">
          <w:rPr>
            <w:rStyle w:val="Lienhypertexte"/>
            <w:rFonts w:ascii="Century Gothic" w:hAnsi="Century Gothic"/>
            <w:noProof/>
            <w:sz w:val="18"/>
            <w:szCs w:val="18"/>
            <w:lang w:val="fr-FR"/>
          </w:rPr>
          <w:t>11.2</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Annexe B – Fiche de migration type (par bande)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_Toc240614461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42</w:t>
        </w:r>
        <w:r w:rsidRPr="00614EF9">
          <w:rPr>
            <w:rFonts w:ascii="Century Gothic" w:hAnsi="Century Gothic"/>
            <w:noProof/>
            <w:webHidden/>
            <w:sz w:val="18"/>
            <w:szCs w:val="18"/>
          </w:rPr>
          <w:fldChar w:fldCharType="end"/>
        </w:r>
      </w:hyperlink>
    </w:p>
    <w:p w14:paraId="2F0DD8D5" w14:textId="63C59839" w:rsidR="00614EF9" w:rsidRPr="00614EF9" w:rsidRDefault="00614EF9" w:rsidP="00614EF9">
      <w:pPr>
        <w:pStyle w:val="TM3"/>
        <w:tabs>
          <w:tab w:val="left" w:pos="132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62" w:history="1">
        <w:r w:rsidRPr="00614EF9">
          <w:rPr>
            <w:rStyle w:val="Lienhypertexte"/>
            <w:rFonts w:ascii="Century Gothic" w:hAnsi="Century Gothic"/>
            <w:noProof/>
            <w:sz w:val="18"/>
            <w:szCs w:val="18"/>
            <w:lang w:val="fr-FR"/>
          </w:rPr>
          <w:t>11.2.1</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600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_Toc240614462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42</w:t>
        </w:r>
        <w:r w:rsidRPr="00614EF9">
          <w:rPr>
            <w:rFonts w:ascii="Century Gothic" w:hAnsi="Century Gothic"/>
            <w:noProof/>
            <w:webHidden/>
            <w:sz w:val="18"/>
            <w:szCs w:val="18"/>
          </w:rPr>
          <w:fldChar w:fldCharType="end"/>
        </w:r>
      </w:hyperlink>
    </w:p>
    <w:p w14:paraId="41442F82" w14:textId="745FE8CD" w:rsidR="00614EF9" w:rsidRPr="00614EF9" w:rsidRDefault="00614EF9" w:rsidP="00614EF9">
      <w:pPr>
        <w:pStyle w:val="TM3"/>
        <w:tabs>
          <w:tab w:val="left" w:pos="132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63" w:history="1">
        <w:r w:rsidRPr="00614EF9">
          <w:rPr>
            <w:rStyle w:val="Lienhypertexte"/>
            <w:rFonts w:ascii="Century Gothic" w:hAnsi="Century Gothic"/>
            <w:noProof/>
            <w:sz w:val="18"/>
            <w:szCs w:val="18"/>
            <w:lang w:val="fr-FR"/>
          </w:rPr>
          <w:t>11.2.2</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700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_Toc240614463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43</w:t>
        </w:r>
        <w:r w:rsidRPr="00614EF9">
          <w:rPr>
            <w:rFonts w:ascii="Century Gothic" w:hAnsi="Century Gothic"/>
            <w:noProof/>
            <w:webHidden/>
            <w:sz w:val="18"/>
            <w:szCs w:val="18"/>
          </w:rPr>
          <w:fldChar w:fldCharType="end"/>
        </w:r>
      </w:hyperlink>
    </w:p>
    <w:p w14:paraId="6FDF56AE" w14:textId="18825C3A" w:rsidR="00614EF9" w:rsidRPr="00614EF9" w:rsidRDefault="00614EF9" w:rsidP="00614EF9">
      <w:pPr>
        <w:pStyle w:val="TM3"/>
        <w:tabs>
          <w:tab w:val="left" w:pos="132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64" w:history="1">
        <w:r w:rsidRPr="00614EF9">
          <w:rPr>
            <w:rStyle w:val="Lienhypertexte"/>
            <w:rFonts w:ascii="Century Gothic" w:hAnsi="Century Gothic"/>
            <w:noProof/>
            <w:sz w:val="18"/>
            <w:szCs w:val="18"/>
            <w:lang w:val="fr-FR"/>
          </w:rPr>
          <w:t>11.2.3</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5925-6425 MHz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_Toc240614464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44</w:t>
        </w:r>
        <w:r w:rsidRPr="00614EF9">
          <w:rPr>
            <w:rFonts w:ascii="Century Gothic" w:hAnsi="Century Gothic"/>
            <w:noProof/>
            <w:webHidden/>
            <w:sz w:val="18"/>
            <w:szCs w:val="18"/>
          </w:rPr>
          <w:fldChar w:fldCharType="end"/>
        </w:r>
      </w:hyperlink>
    </w:p>
    <w:p w14:paraId="660D43D9" w14:textId="48973272" w:rsidR="00614EF9" w:rsidRPr="00614EF9" w:rsidRDefault="00614EF9" w:rsidP="00614EF9">
      <w:pPr>
        <w:pStyle w:val="TM3"/>
        <w:tabs>
          <w:tab w:val="left" w:pos="1320"/>
          <w:tab w:val="right" w:leader="dot" w:pos="9628"/>
        </w:tabs>
        <w:spacing w:before="40" w:after="40"/>
        <w:rPr>
          <w:rFonts w:ascii="Century Gothic" w:eastAsiaTheme="minorEastAsia" w:hAnsi="Century Gothic" w:cstheme="minorBidi"/>
          <w:i w:val="0"/>
          <w:iCs w:val="0"/>
          <w:noProof/>
          <w:kern w:val="2"/>
          <w:sz w:val="18"/>
          <w:szCs w:val="18"/>
          <w14:ligatures w14:val="standardContextual"/>
        </w:rPr>
      </w:pPr>
      <w:hyperlink w:anchor="_Toc240614465" w:history="1">
        <w:r w:rsidRPr="00614EF9">
          <w:rPr>
            <w:rStyle w:val="Lienhypertexte"/>
            <w:rFonts w:ascii="Century Gothic" w:hAnsi="Century Gothic"/>
            <w:noProof/>
            <w:sz w:val="18"/>
            <w:szCs w:val="18"/>
            <w:lang w:val="fr-FR"/>
          </w:rPr>
          <w:t>11.2.4</w:t>
        </w:r>
        <w:r w:rsidRPr="00614EF9">
          <w:rPr>
            <w:rFonts w:ascii="Century Gothic" w:eastAsiaTheme="minorEastAsia" w:hAnsi="Century Gothic" w:cstheme="minorBidi"/>
            <w:i w:val="0"/>
            <w:iCs w:val="0"/>
            <w:noProof/>
            <w:kern w:val="2"/>
            <w:sz w:val="18"/>
            <w:szCs w:val="18"/>
            <w14:ligatures w14:val="standardContextual"/>
          </w:rPr>
          <w:tab/>
        </w:r>
        <w:r w:rsidRPr="00614EF9">
          <w:rPr>
            <w:rStyle w:val="Lienhypertexte"/>
            <w:rFonts w:ascii="Century Gothic" w:hAnsi="Century Gothic"/>
            <w:noProof/>
            <w:sz w:val="18"/>
            <w:szCs w:val="18"/>
            <w:lang w:val="fr-FR"/>
          </w:rPr>
          <w:t>Bande 3,5 GHz</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_Toc240614465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45</w:t>
        </w:r>
        <w:r w:rsidRPr="00614EF9">
          <w:rPr>
            <w:rFonts w:ascii="Century Gothic" w:hAnsi="Century Gothic"/>
            <w:noProof/>
            <w:webHidden/>
            <w:sz w:val="18"/>
            <w:szCs w:val="18"/>
          </w:rPr>
          <w:fldChar w:fldCharType="end"/>
        </w:r>
      </w:hyperlink>
    </w:p>
    <w:p w14:paraId="25F0D897" w14:textId="05265F67" w:rsidR="00614EF9" w:rsidRPr="00614EF9" w:rsidRDefault="00614EF9" w:rsidP="00614EF9">
      <w:pPr>
        <w:pStyle w:val="TM2"/>
        <w:tabs>
          <w:tab w:val="left" w:pos="880"/>
          <w:tab w:val="right" w:leader="dot" w:pos="9628"/>
        </w:tabs>
        <w:spacing w:before="40" w:after="40"/>
        <w:rPr>
          <w:rFonts w:ascii="Century Gothic" w:eastAsiaTheme="minorEastAsia" w:hAnsi="Century Gothic" w:cstheme="minorBidi"/>
          <w:smallCaps w:val="0"/>
          <w:noProof/>
          <w:kern w:val="2"/>
          <w:sz w:val="18"/>
          <w:szCs w:val="18"/>
          <w14:ligatures w14:val="standardContextual"/>
        </w:rPr>
      </w:pPr>
      <w:hyperlink w:anchor="_Toc240614466" w:history="1">
        <w:r w:rsidRPr="00614EF9">
          <w:rPr>
            <w:rStyle w:val="Lienhypertexte"/>
            <w:rFonts w:ascii="Century Gothic" w:hAnsi="Century Gothic"/>
            <w:noProof/>
            <w:sz w:val="18"/>
            <w:szCs w:val="18"/>
            <w:lang w:val="fr-FR"/>
          </w:rPr>
          <w:t>11.3</w:t>
        </w:r>
        <w:r w:rsidRPr="00614EF9">
          <w:rPr>
            <w:rFonts w:ascii="Century Gothic" w:eastAsiaTheme="minorEastAsia" w:hAnsi="Century Gothic" w:cstheme="minorBidi"/>
            <w:smallCaps w:val="0"/>
            <w:noProof/>
            <w:kern w:val="2"/>
            <w:sz w:val="18"/>
            <w:szCs w:val="18"/>
            <w14:ligatures w14:val="standardContextual"/>
          </w:rPr>
          <w:tab/>
        </w:r>
        <w:r w:rsidRPr="00614EF9">
          <w:rPr>
            <w:rStyle w:val="Lienhypertexte"/>
            <w:rFonts w:ascii="Century Gothic" w:hAnsi="Century Gothic"/>
            <w:noProof/>
            <w:sz w:val="18"/>
            <w:szCs w:val="18"/>
            <w:lang w:val="fr-FR"/>
          </w:rPr>
          <w:t>Annexe C – Textes de référence</w:t>
        </w:r>
        <w:r w:rsidRPr="00614EF9">
          <w:rPr>
            <w:rFonts w:ascii="Century Gothic" w:hAnsi="Century Gothic"/>
            <w:noProof/>
            <w:webHidden/>
            <w:sz w:val="18"/>
            <w:szCs w:val="18"/>
          </w:rPr>
          <w:tab/>
        </w:r>
        <w:r w:rsidRPr="00614EF9">
          <w:rPr>
            <w:rFonts w:ascii="Century Gothic" w:hAnsi="Century Gothic"/>
            <w:noProof/>
            <w:webHidden/>
            <w:sz w:val="18"/>
            <w:szCs w:val="18"/>
          </w:rPr>
          <w:fldChar w:fldCharType="begin"/>
        </w:r>
        <w:r w:rsidRPr="00614EF9">
          <w:rPr>
            <w:rFonts w:ascii="Century Gothic" w:hAnsi="Century Gothic"/>
            <w:noProof/>
            <w:webHidden/>
            <w:sz w:val="18"/>
            <w:szCs w:val="18"/>
          </w:rPr>
          <w:instrText xml:space="preserve"> PAGEREF _Toc240614466 \h </w:instrText>
        </w:r>
        <w:r w:rsidRPr="00614EF9">
          <w:rPr>
            <w:rFonts w:ascii="Century Gothic" w:hAnsi="Century Gothic"/>
            <w:noProof/>
            <w:webHidden/>
            <w:sz w:val="18"/>
            <w:szCs w:val="18"/>
          </w:rPr>
        </w:r>
        <w:r w:rsidRPr="00614EF9">
          <w:rPr>
            <w:rFonts w:ascii="Century Gothic" w:hAnsi="Century Gothic"/>
            <w:noProof/>
            <w:webHidden/>
            <w:sz w:val="18"/>
            <w:szCs w:val="18"/>
          </w:rPr>
          <w:fldChar w:fldCharType="separate"/>
        </w:r>
        <w:r w:rsidR="0058618D">
          <w:rPr>
            <w:rFonts w:ascii="Century Gothic" w:hAnsi="Century Gothic"/>
            <w:noProof/>
            <w:webHidden/>
            <w:sz w:val="18"/>
            <w:szCs w:val="18"/>
          </w:rPr>
          <w:t>46</w:t>
        </w:r>
        <w:r w:rsidRPr="00614EF9">
          <w:rPr>
            <w:rFonts w:ascii="Century Gothic" w:hAnsi="Century Gothic"/>
            <w:noProof/>
            <w:webHidden/>
            <w:sz w:val="18"/>
            <w:szCs w:val="18"/>
          </w:rPr>
          <w:fldChar w:fldCharType="end"/>
        </w:r>
      </w:hyperlink>
    </w:p>
    <w:p w14:paraId="69A81295" w14:textId="7DE75FCA" w:rsidR="007C757E" w:rsidRPr="00614EF9" w:rsidRDefault="00795DCB" w:rsidP="00614EF9">
      <w:pPr>
        <w:spacing w:before="40" w:after="40"/>
        <w:rPr>
          <w:lang w:val="fr-FR"/>
        </w:rPr>
      </w:pPr>
      <w:r w:rsidRPr="00614EF9">
        <w:rPr>
          <w:sz w:val="18"/>
          <w:szCs w:val="18"/>
          <w:lang w:val="fr-FR"/>
        </w:rPr>
        <w:fldChar w:fldCharType="end"/>
      </w:r>
    </w:p>
    <w:p w14:paraId="6FDDD2F1" w14:textId="77777777" w:rsidR="007C757E" w:rsidRPr="00614EF9" w:rsidRDefault="009514E2">
      <w:pPr>
        <w:rPr>
          <w:lang w:val="fr-FR"/>
        </w:rPr>
      </w:pPr>
      <w:r w:rsidRPr="00614EF9">
        <w:rPr>
          <w:lang w:val="fr-FR"/>
        </w:rPr>
        <w:br w:type="page"/>
      </w:r>
    </w:p>
    <w:p w14:paraId="2BF24836" w14:textId="77777777" w:rsidR="0083054A" w:rsidRPr="00614EF9" w:rsidRDefault="0083054A" w:rsidP="0083054A">
      <w:pPr>
        <w:pStyle w:val="Titre1"/>
        <w:numPr>
          <w:ilvl w:val="0"/>
          <w:numId w:val="0"/>
        </w:numPr>
        <w:rPr>
          <w:lang w:val="fr-FR"/>
        </w:rPr>
      </w:pPr>
      <w:bookmarkStart w:id="10" w:name="_Toc240614341"/>
      <w:bookmarkStart w:id="11" w:name="_Toc232062276"/>
      <w:bookmarkStart w:id="12" w:name="_Toc236636354"/>
      <w:r w:rsidRPr="00614EF9">
        <w:rPr>
          <w:lang w:val="fr-FR"/>
        </w:rPr>
        <w:lastRenderedPageBreak/>
        <w:t>tableaux</w:t>
      </w:r>
      <w:bookmarkEnd w:id="10"/>
      <w:r w:rsidRPr="00614EF9">
        <w:rPr>
          <w:lang w:val="fr-FR"/>
        </w:rPr>
        <w:t xml:space="preserve"> </w:t>
      </w:r>
    </w:p>
    <w:p w14:paraId="57C3137E" w14:textId="2CB055C2" w:rsidR="00614EF9" w:rsidRPr="00614EF9" w:rsidRDefault="0083054A">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r w:rsidRPr="00614EF9">
        <w:rPr>
          <w:sz w:val="18"/>
          <w:szCs w:val="18"/>
          <w:lang w:val="fr-FR"/>
        </w:rPr>
        <w:fldChar w:fldCharType="begin"/>
      </w:r>
      <w:r w:rsidRPr="00614EF9">
        <w:rPr>
          <w:sz w:val="18"/>
          <w:szCs w:val="18"/>
          <w:lang w:val="fr-FR"/>
        </w:rPr>
        <w:instrText xml:space="preserve"> TOC \h \z \c "Tableau" </w:instrText>
      </w:r>
      <w:r w:rsidRPr="00614EF9">
        <w:rPr>
          <w:sz w:val="18"/>
          <w:szCs w:val="18"/>
          <w:lang w:val="fr-FR"/>
        </w:rPr>
        <w:fldChar w:fldCharType="separate"/>
      </w:r>
      <w:hyperlink w:anchor="_Toc240614515" w:history="1">
        <w:r w:rsidR="00614EF9" w:rsidRPr="00614EF9">
          <w:rPr>
            <w:rStyle w:val="Lienhypertexte"/>
            <w:noProof/>
            <w:sz w:val="18"/>
            <w:szCs w:val="18"/>
            <w:lang w:val="fr-FR"/>
          </w:rPr>
          <w:t>Tableau 1: Bandes de fréquences concernées par le plan de transition</w:t>
        </w:r>
        <w:r w:rsidR="00614EF9" w:rsidRPr="00614EF9">
          <w:rPr>
            <w:noProof/>
            <w:webHidden/>
            <w:sz w:val="18"/>
            <w:szCs w:val="18"/>
          </w:rPr>
          <w:tab/>
        </w:r>
        <w:r w:rsidR="00614EF9" w:rsidRPr="00614EF9">
          <w:rPr>
            <w:noProof/>
            <w:webHidden/>
            <w:sz w:val="18"/>
            <w:szCs w:val="18"/>
          </w:rPr>
          <w:fldChar w:fldCharType="begin"/>
        </w:r>
        <w:r w:rsidR="00614EF9" w:rsidRPr="00614EF9">
          <w:rPr>
            <w:noProof/>
            <w:webHidden/>
            <w:sz w:val="18"/>
            <w:szCs w:val="18"/>
          </w:rPr>
          <w:instrText xml:space="preserve"> PAGEREF _Toc240614515 \h </w:instrText>
        </w:r>
        <w:r w:rsidR="00614EF9" w:rsidRPr="00614EF9">
          <w:rPr>
            <w:noProof/>
            <w:webHidden/>
            <w:sz w:val="18"/>
            <w:szCs w:val="18"/>
          </w:rPr>
        </w:r>
        <w:r w:rsidR="00614EF9" w:rsidRPr="00614EF9">
          <w:rPr>
            <w:noProof/>
            <w:webHidden/>
            <w:sz w:val="18"/>
            <w:szCs w:val="18"/>
          </w:rPr>
          <w:fldChar w:fldCharType="separate"/>
        </w:r>
        <w:r w:rsidR="0058618D">
          <w:rPr>
            <w:noProof/>
            <w:webHidden/>
            <w:sz w:val="18"/>
            <w:szCs w:val="18"/>
          </w:rPr>
          <w:t>9</w:t>
        </w:r>
        <w:r w:rsidR="00614EF9" w:rsidRPr="00614EF9">
          <w:rPr>
            <w:noProof/>
            <w:webHidden/>
            <w:sz w:val="18"/>
            <w:szCs w:val="18"/>
          </w:rPr>
          <w:fldChar w:fldCharType="end"/>
        </w:r>
      </w:hyperlink>
    </w:p>
    <w:p w14:paraId="71CFAD53" w14:textId="6E0C5A58"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16" w:history="1">
        <w:r w:rsidRPr="00614EF9">
          <w:rPr>
            <w:rStyle w:val="Lienhypertexte"/>
            <w:noProof/>
            <w:sz w:val="18"/>
            <w:szCs w:val="18"/>
            <w:lang w:val="fr-FR"/>
          </w:rPr>
          <w:t>Tableau 2: Liste des contributions reçues</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_Toc240614516 \h </w:instrText>
        </w:r>
        <w:r w:rsidRPr="00614EF9">
          <w:rPr>
            <w:noProof/>
            <w:webHidden/>
            <w:sz w:val="18"/>
            <w:szCs w:val="18"/>
          </w:rPr>
        </w:r>
        <w:r w:rsidRPr="00614EF9">
          <w:rPr>
            <w:noProof/>
            <w:webHidden/>
            <w:sz w:val="18"/>
            <w:szCs w:val="18"/>
          </w:rPr>
          <w:fldChar w:fldCharType="separate"/>
        </w:r>
        <w:r w:rsidR="0058618D">
          <w:rPr>
            <w:noProof/>
            <w:webHidden/>
            <w:sz w:val="18"/>
            <w:szCs w:val="18"/>
          </w:rPr>
          <w:t>10</w:t>
        </w:r>
        <w:r w:rsidRPr="00614EF9">
          <w:rPr>
            <w:noProof/>
            <w:webHidden/>
            <w:sz w:val="18"/>
            <w:szCs w:val="18"/>
          </w:rPr>
          <w:fldChar w:fldCharType="end"/>
        </w:r>
      </w:hyperlink>
    </w:p>
    <w:p w14:paraId="47394037" w14:textId="5ACDAC92"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17" w:history="1">
        <w:r w:rsidRPr="00614EF9">
          <w:rPr>
            <w:rStyle w:val="Lienhypertexte"/>
            <w:noProof/>
            <w:sz w:val="18"/>
            <w:szCs w:val="18"/>
            <w:lang w:val="fr-FR"/>
          </w:rPr>
          <w:t>Tableau 3: Rôle et responsabilités des membres du comité de pilotage</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_Toc240614517 \h </w:instrText>
        </w:r>
        <w:r w:rsidRPr="00614EF9">
          <w:rPr>
            <w:noProof/>
            <w:webHidden/>
            <w:sz w:val="18"/>
            <w:szCs w:val="18"/>
          </w:rPr>
        </w:r>
        <w:r w:rsidRPr="00614EF9">
          <w:rPr>
            <w:noProof/>
            <w:webHidden/>
            <w:sz w:val="18"/>
            <w:szCs w:val="18"/>
          </w:rPr>
          <w:fldChar w:fldCharType="separate"/>
        </w:r>
        <w:r w:rsidR="0058618D">
          <w:rPr>
            <w:noProof/>
            <w:webHidden/>
            <w:sz w:val="18"/>
            <w:szCs w:val="18"/>
          </w:rPr>
          <w:t>11</w:t>
        </w:r>
        <w:r w:rsidRPr="00614EF9">
          <w:rPr>
            <w:noProof/>
            <w:webHidden/>
            <w:sz w:val="18"/>
            <w:szCs w:val="18"/>
          </w:rPr>
          <w:fldChar w:fldCharType="end"/>
        </w:r>
      </w:hyperlink>
    </w:p>
    <w:p w14:paraId="7A614994" w14:textId="23410782"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18" w:history="1">
        <w:r w:rsidRPr="00614EF9">
          <w:rPr>
            <w:rStyle w:val="Lienhypertexte"/>
            <w:noProof/>
            <w:sz w:val="18"/>
            <w:szCs w:val="18"/>
            <w:lang w:val="fr-FR"/>
          </w:rPr>
          <w:t>Tableau 4: Inventaire des installations dans la bande 600 MHz</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_Toc240614518 \h </w:instrText>
        </w:r>
        <w:r w:rsidRPr="00614EF9">
          <w:rPr>
            <w:noProof/>
            <w:webHidden/>
            <w:sz w:val="18"/>
            <w:szCs w:val="18"/>
          </w:rPr>
        </w:r>
        <w:r w:rsidRPr="00614EF9">
          <w:rPr>
            <w:noProof/>
            <w:webHidden/>
            <w:sz w:val="18"/>
            <w:szCs w:val="18"/>
          </w:rPr>
          <w:fldChar w:fldCharType="separate"/>
        </w:r>
        <w:r w:rsidR="0058618D">
          <w:rPr>
            <w:noProof/>
            <w:webHidden/>
            <w:sz w:val="18"/>
            <w:szCs w:val="18"/>
          </w:rPr>
          <w:t>12</w:t>
        </w:r>
        <w:r w:rsidRPr="00614EF9">
          <w:rPr>
            <w:noProof/>
            <w:webHidden/>
            <w:sz w:val="18"/>
            <w:szCs w:val="18"/>
          </w:rPr>
          <w:fldChar w:fldCharType="end"/>
        </w:r>
      </w:hyperlink>
    </w:p>
    <w:p w14:paraId="0150BD89" w14:textId="140BA7F4"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19" w:history="1">
        <w:r w:rsidRPr="00614EF9">
          <w:rPr>
            <w:rStyle w:val="Lienhypertexte"/>
            <w:noProof/>
            <w:sz w:val="18"/>
            <w:szCs w:val="18"/>
            <w:lang w:val="fr-FR"/>
          </w:rPr>
          <w:t>Tableau 5: Inventaire des installations dans la bande 700 MHz</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_Toc240614519 \h </w:instrText>
        </w:r>
        <w:r w:rsidRPr="00614EF9">
          <w:rPr>
            <w:noProof/>
            <w:webHidden/>
            <w:sz w:val="18"/>
            <w:szCs w:val="18"/>
          </w:rPr>
        </w:r>
        <w:r w:rsidRPr="00614EF9">
          <w:rPr>
            <w:noProof/>
            <w:webHidden/>
            <w:sz w:val="18"/>
            <w:szCs w:val="18"/>
          </w:rPr>
          <w:fldChar w:fldCharType="separate"/>
        </w:r>
        <w:r w:rsidR="0058618D">
          <w:rPr>
            <w:noProof/>
            <w:webHidden/>
            <w:sz w:val="18"/>
            <w:szCs w:val="18"/>
          </w:rPr>
          <w:t>12</w:t>
        </w:r>
        <w:r w:rsidRPr="00614EF9">
          <w:rPr>
            <w:noProof/>
            <w:webHidden/>
            <w:sz w:val="18"/>
            <w:szCs w:val="18"/>
          </w:rPr>
          <w:fldChar w:fldCharType="end"/>
        </w:r>
      </w:hyperlink>
    </w:p>
    <w:p w14:paraId="1183F389" w14:textId="51B19669"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0" w:history="1">
        <w:r w:rsidRPr="00614EF9">
          <w:rPr>
            <w:rStyle w:val="Lienhypertexte"/>
            <w:noProof/>
            <w:sz w:val="18"/>
            <w:szCs w:val="18"/>
            <w:lang w:val="fr-FR"/>
          </w:rPr>
          <w:t>Tableau 6: Inventaire sites d’émission générant des produits d’intermodulation observés dans la bande 700 MHz</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_Toc240614520 \h </w:instrText>
        </w:r>
        <w:r w:rsidRPr="00614EF9">
          <w:rPr>
            <w:noProof/>
            <w:webHidden/>
            <w:sz w:val="18"/>
            <w:szCs w:val="18"/>
          </w:rPr>
        </w:r>
        <w:r w:rsidRPr="00614EF9">
          <w:rPr>
            <w:noProof/>
            <w:webHidden/>
            <w:sz w:val="18"/>
            <w:szCs w:val="18"/>
          </w:rPr>
          <w:fldChar w:fldCharType="separate"/>
        </w:r>
        <w:r w:rsidR="0058618D">
          <w:rPr>
            <w:noProof/>
            <w:webHidden/>
            <w:sz w:val="18"/>
            <w:szCs w:val="18"/>
          </w:rPr>
          <w:t>13</w:t>
        </w:r>
        <w:r w:rsidRPr="00614EF9">
          <w:rPr>
            <w:noProof/>
            <w:webHidden/>
            <w:sz w:val="18"/>
            <w:szCs w:val="18"/>
          </w:rPr>
          <w:fldChar w:fldCharType="end"/>
        </w:r>
      </w:hyperlink>
    </w:p>
    <w:p w14:paraId="0E227C2E" w14:textId="4CAA1306"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1" w:history="1">
        <w:r w:rsidRPr="00614EF9">
          <w:rPr>
            <w:rStyle w:val="Lienhypertexte"/>
            <w:noProof/>
            <w:sz w:val="18"/>
            <w:szCs w:val="18"/>
            <w:lang w:val="fr-FR"/>
          </w:rPr>
          <w:t>Tableau 7: Inventaire des réseaux d’accès hertzien fixe des FAI fonctionnant dans la bande 5 GHz</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_Toc240614521 \h </w:instrText>
        </w:r>
        <w:r w:rsidRPr="00614EF9">
          <w:rPr>
            <w:noProof/>
            <w:webHidden/>
            <w:sz w:val="18"/>
            <w:szCs w:val="18"/>
          </w:rPr>
        </w:r>
        <w:r w:rsidRPr="00614EF9">
          <w:rPr>
            <w:noProof/>
            <w:webHidden/>
            <w:sz w:val="18"/>
            <w:szCs w:val="18"/>
          </w:rPr>
          <w:fldChar w:fldCharType="separate"/>
        </w:r>
        <w:r w:rsidR="0058618D">
          <w:rPr>
            <w:noProof/>
            <w:webHidden/>
            <w:sz w:val="18"/>
            <w:szCs w:val="18"/>
          </w:rPr>
          <w:t>13</w:t>
        </w:r>
        <w:r w:rsidRPr="00614EF9">
          <w:rPr>
            <w:noProof/>
            <w:webHidden/>
            <w:sz w:val="18"/>
            <w:szCs w:val="18"/>
          </w:rPr>
          <w:fldChar w:fldCharType="end"/>
        </w:r>
      </w:hyperlink>
    </w:p>
    <w:p w14:paraId="5C02B289" w14:textId="165E278C"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2" w:history="1">
        <w:r w:rsidRPr="00614EF9">
          <w:rPr>
            <w:rStyle w:val="Lienhypertexte"/>
            <w:noProof/>
            <w:sz w:val="18"/>
            <w:szCs w:val="18"/>
            <w:lang w:val="fr-FR"/>
          </w:rPr>
          <w:t>Tableau 8: Liste des exploitants de stations terriennes du SFS en bande C</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_Toc240614522 \h </w:instrText>
        </w:r>
        <w:r w:rsidRPr="00614EF9">
          <w:rPr>
            <w:noProof/>
            <w:webHidden/>
            <w:sz w:val="18"/>
            <w:szCs w:val="18"/>
          </w:rPr>
        </w:r>
        <w:r w:rsidRPr="00614EF9">
          <w:rPr>
            <w:noProof/>
            <w:webHidden/>
            <w:sz w:val="18"/>
            <w:szCs w:val="18"/>
          </w:rPr>
          <w:fldChar w:fldCharType="separate"/>
        </w:r>
        <w:r w:rsidR="0058618D">
          <w:rPr>
            <w:noProof/>
            <w:webHidden/>
            <w:sz w:val="18"/>
            <w:szCs w:val="18"/>
          </w:rPr>
          <w:t>14</w:t>
        </w:r>
        <w:r w:rsidRPr="00614EF9">
          <w:rPr>
            <w:noProof/>
            <w:webHidden/>
            <w:sz w:val="18"/>
            <w:szCs w:val="18"/>
          </w:rPr>
          <w:fldChar w:fldCharType="end"/>
        </w:r>
      </w:hyperlink>
    </w:p>
    <w:p w14:paraId="6E880E57" w14:textId="71BBD95B"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3" w:history="1">
        <w:r w:rsidRPr="00614EF9">
          <w:rPr>
            <w:rStyle w:val="Lienhypertexte"/>
            <w:noProof/>
            <w:sz w:val="18"/>
            <w:szCs w:val="18"/>
            <w:lang w:val="fr-FR"/>
          </w:rPr>
          <w:t>Tableau 9: Description des stations terriennes du SFS en bande C</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_Toc240614523 \h </w:instrText>
        </w:r>
        <w:r w:rsidRPr="00614EF9">
          <w:rPr>
            <w:noProof/>
            <w:webHidden/>
            <w:sz w:val="18"/>
            <w:szCs w:val="18"/>
          </w:rPr>
        </w:r>
        <w:r w:rsidRPr="00614EF9">
          <w:rPr>
            <w:noProof/>
            <w:webHidden/>
            <w:sz w:val="18"/>
            <w:szCs w:val="18"/>
          </w:rPr>
          <w:fldChar w:fldCharType="separate"/>
        </w:r>
        <w:r w:rsidR="0058618D">
          <w:rPr>
            <w:noProof/>
            <w:webHidden/>
            <w:sz w:val="18"/>
            <w:szCs w:val="18"/>
          </w:rPr>
          <w:t>14</w:t>
        </w:r>
        <w:r w:rsidRPr="00614EF9">
          <w:rPr>
            <w:noProof/>
            <w:webHidden/>
            <w:sz w:val="18"/>
            <w:szCs w:val="18"/>
          </w:rPr>
          <w:fldChar w:fldCharType="end"/>
        </w:r>
      </w:hyperlink>
    </w:p>
    <w:p w14:paraId="749B1CA8" w14:textId="42C6655D"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4" w:history="1">
        <w:r w:rsidRPr="00614EF9">
          <w:rPr>
            <w:rStyle w:val="Lienhypertexte"/>
            <w:noProof/>
            <w:sz w:val="18"/>
            <w:szCs w:val="18"/>
            <w:lang w:val="fr-FR"/>
          </w:rPr>
          <w:t>Tableau 10: Impact du taux d’audience de la TNT sur les bandes 600 MHz et 700 MHz</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_Toc240614524 \h </w:instrText>
        </w:r>
        <w:r w:rsidRPr="00614EF9">
          <w:rPr>
            <w:noProof/>
            <w:webHidden/>
            <w:sz w:val="18"/>
            <w:szCs w:val="18"/>
          </w:rPr>
        </w:r>
        <w:r w:rsidRPr="00614EF9">
          <w:rPr>
            <w:noProof/>
            <w:webHidden/>
            <w:sz w:val="18"/>
            <w:szCs w:val="18"/>
          </w:rPr>
          <w:fldChar w:fldCharType="separate"/>
        </w:r>
        <w:r w:rsidR="0058618D">
          <w:rPr>
            <w:noProof/>
            <w:webHidden/>
            <w:sz w:val="18"/>
            <w:szCs w:val="18"/>
          </w:rPr>
          <w:t>15</w:t>
        </w:r>
        <w:r w:rsidRPr="00614EF9">
          <w:rPr>
            <w:noProof/>
            <w:webHidden/>
            <w:sz w:val="18"/>
            <w:szCs w:val="18"/>
          </w:rPr>
          <w:fldChar w:fldCharType="end"/>
        </w:r>
      </w:hyperlink>
    </w:p>
    <w:p w14:paraId="7DA75F60" w14:textId="630D60AB"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5" w:history="1">
        <w:r w:rsidRPr="00614EF9">
          <w:rPr>
            <w:rStyle w:val="Lienhypertexte"/>
            <w:noProof/>
            <w:sz w:val="18"/>
            <w:szCs w:val="18"/>
            <w:lang w:val="fr-FR"/>
          </w:rPr>
          <w:t>Tableau 11: Évaluation de l’impact de la libération</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_Toc240614525 \h </w:instrText>
        </w:r>
        <w:r w:rsidRPr="00614EF9">
          <w:rPr>
            <w:noProof/>
            <w:webHidden/>
            <w:sz w:val="18"/>
            <w:szCs w:val="18"/>
          </w:rPr>
        </w:r>
        <w:r w:rsidRPr="00614EF9">
          <w:rPr>
            <w:noProof/>
            <w:webHidden/>
            <w:sz w:val="18"/>
            <w:szCs w:val="18"/>
          </w:rPr>
          <w:fldChar w:fldCharType="separate"/>
        </w:r>
        <w:r w:rsidR="0058618D">
          <w:rPr>
            <w:noProof/>
            <w:webHidden/>
            <w:sz w:val="18"/>
            <w:szCs w:val="18"/>
          </w:rPr>
          <w:t>17</w:t>
        </w:r>
        <w:r w:rsidRPr="00614EF9">
          <w:rPr>
            <w:noProof/>
            <w:webHidden/>
            <w:sz w:val="18"/>
            <w:szCs w:val="18"/>
          </w:rPr>
          <w:fldChar w:fldCharType="end"/>
        </w:r>
      </w:hyperlink>
    </w:p>
    <w:p w14:paraId="1902D9F1" w14:textId="4AD585C1"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6" w:history="1">
        <w:r w:rsidRPr="00614EF9">
          <w:rPr>
            <w:rStyle w:val="Lienhypertexte"/>
            <w:noProof/>
            <w:sz w:val="18"/>
            <w:szCs w:val="18"/>
            <w:lang w:val="fr-FR"/>
          </w:rPr>
          <w:t>Tableau 12: Cartographie de la conformité des bandes candidates</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_Toc240614526 \h </w:instrText>
        </w:r>
        <w:r w:rsidRPr="00614EF9">
          <w:rPr>
            <w:noProof/>
            <w:webHidden/>
            <w:sz w:val="18"/>
            <w:szCs w:val="18"/>
          </w:rPr>
        </w:r>
        <w:r w:rsidRPr="00614EF9">
          <w:rPr>
            <w:noProof/>
            <w:webHidden/>
            <w:sz w:val="18"/>
            <w:szCs w:val="18"/>
          </w:rPr>
          <w:fldChar w:fldCharType="separate"/>
        </w:r>
        <w:r w:rsidR="0058618D">
          <w:rPr>
            <w:noProof/>
            <w:webHidden/>
            <w:sz w:val="18"/>
            <w:szCs w:val="18"/>
          </w:rPr>
          <w:t>20</w:t>
        </w:r>
        <w:r w:rsidRPr="00614EF9">
          <w:rPr>
            <w:noProof/>
            <w:webHidden/>
            <w:sz w:val="18"/>
            <w:szCs w:val="18"/>
          </w:rPr>
          <w:fldChar w:fldCharType="end"/>
        </w:r>
      </w:hyperlink>
    </w:p>
    <w:p w14:paraId="1D6FB3F7" w14:textId="2256C428"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7" w:history="1">
        <w:r w:rsidRPr="00614EF9">
          <w:rPr>
            <w:rStyle w:val="Lienhypertexte"/>
            <w:noProof/>
            <w:sz w:val="18"/>
            <w:szCs w:val="18"/>
            <w:lang w:val="fr-FR"/>
          </w:rPr>
          <w:t>Tableau 13: Impact de l’attribution de la bande 600 MHz au mobile sur la planification GE06 du Niger</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_Toc240614527 \h </w:instrText>
        </w:r>
        <w:r w:rsidRPr="00614EF9">
          <w:rPr>
            <w:noProof/>
            <w:webHidden/>
            <w:sz w:val="18"/>
            <w:szCs w:val="18"/>
          </w:rPr>
        </w:r>
        <w:r w:rsidRPr="00614EF9">
          <w:rPr>
            <w:noProof/>
            <w:webHidden/>
            <w:sz w:val="18"/>
            <w:szCs w:val="18"/>
          </w:rPr>
          <w:fldChar w:fldCharType="separate"/>
        </w:r>
        <w:r w:rsidR="0058618D">
          <w:rPr>
            <w:noProof/>
            <w:webHidden/>
            <w:sz w:val="18"/>
            <w:szCs w:val="18"/>
          </w:rPr>
          <w:t>20</w:t>
        </w:r>
        <w:r w:rsidRPr="00614EF9">
          <w:rPr>
            <w:noProof/>
            <w:webHidden/>
            <w:sz w:val="18"/>
            <w:szCs w:val="18"/>
          </w:rPr>
          <w:fldChar w:fldCharType="end"/>
        </w:r>
      </w:hyperlink>
    </w:p>
    <w:p w14:paraId="6157D429" w14:textId="18CDEF07"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8" w:history="1">
        <w:r w:rsidRPr="00614EF9">
          <w:rPr>
            <w:rStyle w:val="Lienhypertexte"/>
            <w:noProof/>
            <w:sz w:val="18"/>
            <w:szCs w:val="18"/>
            <w:lang w:val="fr-FR"/>
          </w:rPr>
          <w:t>Tableau 14: Éléments à considérer pour la mise à jour des accords de coordination des fréquences aux frontières</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_Toc240614528 \h </w:instrText>
        </w:r>
        <w:r w:rsidRPr="00614EF9">
          <w:rPr>
            <w:noProof/>
            <w:webHidden/>
            <w:sz w:val="18"/>
            <w:szCs w:val="18"/>
          </w:rPr>
        </w:r>
        <w:r w:rsidRPr="00614EF9">
          <w:rPr>
            <w:noProof/>
            <w:webHidden/>
            <w:sz w:val="18"/>
            <w:szCs w:val="18"/>
          </w:rPr>
          <w:fldChar w:fldCharType="separate"/>
        </w:r>
        <w:r w:rsidR="0058618D">
          <w:rPr>
            <w:noProof/>
            <w:webHidden/>
            <w:sz w:val="18"/>
            <w:szCs w:val="18"/>
          </w:rPr>
          <w:t>23</w:t>
        </w:r>
        <w:r w:rsidRPr="00614EF9">
          <w:rPr>
            <w:noProof/>
            <w:webHidden/>
            <w:sz w:val="18"/>
            <w:szCs w:val="18"/>
          </w:rPr>
          <w:fldChar w:fldCharType="end"/>
        </w:r>
      </w:hyperlink>
    </w:p>
    <w:p w14:paraId="0173030A" w14:textId="54AEC739"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29" w:history="1">
        <w:r w:rsidRPr="00614EF9">
          <w:rPr>
            <w:rStyle w:val="Lienhypertexte"/>
            <w:noProof/>
            <w:sz w:val="18"/>
            <w:szCs w:val="18"/>
            <w:lang w:val="fr-FR"/>
          </w:rPr>
          <w:t>Tableau 15: Évaluation des coûts de migration</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_Toc240614529 \h </w:instrText>
        </w:r>
        <w:r w:rsidRPr="00614EF9">
          <w:rPr>
            <w:noProof/>
            <w:webHidden/>
            <w:sz w:val="18"/>
            <w:szCs w:val="18"/>
          </w:rPr>
        </w:r>
        <w:r w:rsidRPr="00614EF9">
          <w:rPr>
            <w:noProof/>
            <w:webHidden/>
            <w:sz w:val="18"/>
            <w:szCs w:val="18"/>
          </w:rPr>
          <w:fldChar w:fldCharType="separate"/>
        </w:r>
        <w:r w:rsidR="0058618D">
          <w:rPr>
            <w:noProof/>
            <w:webHidden/>
            <w:sz w:val="18"/>
            <w:szCs w:val="18"/>
          </w:rPr>
          <w:t>23</w:t>
        </w:r>
        <w:r w:rsidRPr="00614EF9">
          <w:rPr>
            <w:noProof/>
            <w:webHidden/>
            <w:sz w:val="18"/>
            <w:szCs w:val="18"/>
          </w:rPr>
          <w:fldChar w:fldCharType="end"/>
        </w:r>
      </w:hyperlink>
    </w:p>
    <w:p w14:paraId="34483774" w14:textId="3C7CDF3C"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0" w:history="1">
        <w:r w:rsidRPr="00614EF9">
          <w:rPr>
            <w:rStyle w:val="Lienhypertexte"/>
            <w:noProof/>
            <w:sz w:val="18"/>
            <w:szCs w:val="18"/>
            <w:lang w:val="fr-FR"/>
          </w:rPr>
          <w:t>Tableau 16: Durée de préavis par catégorie d’assignataire</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_Toc240614530 \h </w:instrText>
        </w:r>
        <w:r w:rsidRPr="00614EF9">
          <w:rPr>
            <w:noProof/>
            <w:webHidden/>
            <w:sz w:val="18"/>
            <w:szCs w:val="18"/>
          </w:rPr>
        </w:r>
        <w:r w:rsidRPr="00614EF9">
          <w:rPr>
            <w:noProof/>
            <w:webHidden/>
            <w:sz w:val="18"/>
            <w:szCs w:val="18"/>
          </w:rPr>
          <w:fldChar w:fldCharType="separate"/>
        </w:r>
        <w:r w:rsidR="0058618D">
          <w:rPr>
            <w:noProof/>
            <w:webHidden/>
            <w:sz w:val="18"/>
            <w:szCs w:val="18"/>
          </w:rPr>
          <w:t>24</w:t>
        </w:r>
        <w:r w:rsidRPr="00614EF9">
          <w:rPr>
            <w:noProof/>
            <w:webHidden/>
            <w:sz w:val="18"/>
            <w:szCs w:val="18"/>
          </w:rPr>
          <w:fldChar w:fldCharType="end"/>
        </w:r>
      </w:hyperlink>
    </w:p>
    <w:p w14:paraId="5184260C" w14:textId="7228BB95"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1" w:history="1">
        <w:r w:rsidRPr="00614EF9">
          <w:rPr>
            <w:rStyle w:val="Lienhypertexte"/>
            <w:noProof/>
            <w:sz w:val="18"/>
            <w:szCs w:val="18"/>
            <w:lang w:val="fr-FR"/>
          </w:rPr>
          <w:t>Tableau 17: Sanctions applicables pour défaut de libération</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_Toc240614531 \h </w:instrText>
        </w:r>
        <w:r w:rsidRPr="00614EF9">
          <w:rPr>
            <w:noProof/>
            <w:webHidden/>
            <w:sz w:val="18"/>
            <w:szCs w:val="18"/>
          </w:rPr>
        </w:r>
        <w:r w:rsidRPr="00614EF9">
          <w:rPr>
            <w:noProof/>
            <w:webHidden/>
            <w:sz w:val="18"/>
            <w:szCs w:val="18"/>
          </w:rPr>
          <w:fldChar w:fldCharType="separate"/>
        </w:r>
        <w:r w:rsidR="0058618D">
          <w:rPr>
            <w:noProof/>
            <w:webHidden/>
            <w:sz w:val="18"/>
            <w:szCs w:val="18"/>
          </w:rPr>
          <w:t>26</w:t>
        </w:r>
        <w:r w:rsidRPr="00614EF9">
          <w:rPr>
            <w:noProof/>
            <w:webHidden/>
            <w:sz w:val="18"/>
            <w:szCs w:val="18"/>
          </w:rPr>
          <w:fldChar w:fldCharType="end"/>
        </w:r>
      </w:hyperlink>
    </w:p>
    <w:p w14:paraId="55B47595" w14:textId="5FEB8EBD"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2" w:history="1">
        <w:r w:rsidRPr="00614EF9">
          <w:rPr>
            <w:rStyle w:val="Lienhypertexte"/>
            <w:noProof/>
            <w:sz w:val="18"/>
            <w:szCs w:val="18"/>
            <w:lang w:val="fr-FR"/>
          </w:rPr>
          <w:t>Tableau 18: Coûts déclarés par Liptinfor et AFR-IX</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_Toc240614532 \h </w:instrText>
        </w:r>
        <w:r w:rsidRPr="00614EF9">
          <w:rPr>
            <w:noProof/>
            <w:webHidden/>
            <w:sz w:val="18"/>
            <w:szCs w:val="18"/>
          </w:rPr>
        </w:r>
        <w:r w:rsidRPr="00614EF9">
          <w:rPr>
            <w:noProof/>
            <w:webHidden/>
            <w:sz w:val="18"/>
            <w:szCs w:val="18"/>
          </w:rPr>
          <w:fldChar w:fldCharType="separate"/>
        </w:r>
        <w:r w:rsidR="0058618D">
          <w:rPr>
            <w:noProof/>
            <w:webHidden/>
            <w:sz w:val="18"/>
            <w:szCs w:val="18"/>
          </w:rPr>
          <w:t>28</w:t>
        </w:r>
        <w:r w:rsidRPr="00614EF9">
          <w:rPr>
            <w:noProof/>
            <w:webHidden/>
            <w:sz w:val="18"/>
            <w:szCs w:val="18"/>
          </w:rPr>
          <w:fldChar w:fldCharType="end"/>
        </w:r>
      </w:hyperlink>
    </w:p>
    <w:p w14:paraId="070FC7D9" w14:textId="21323840"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3" w:history="1">
        <w:r w:rsidRPr="00614EF9">
          <w:rPr>
            <w:rStyle w:val="Lienhypertexte"/>
            <w:noProof/>
            <w:sz w:val="18"/>
            <w:szCs w:val="18"/>
            <w:lang w:val="fr-FR"/>
          </w:rPr>
          <w:t>Tableau 19: Critères de priorisation des bandes à libérer</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_Toc240614533 \h </w:instrText>
        </w:r>
        <w:r w:rsidRPr="00614EF9">
          <w:rPr>
            <w:noProof/>
            <w:webHidden/>
            <w:sz w:val="18"/>
            <w:szCs w:val="18"/>
          </w:rPr>
        </w:r>
        <w:r w:rsidRPr="00614EF9">
          <w:rPr>
            <w:noProof/>
            <w:webHidden/>
            <w:sz w:val="18"/>
            <w:szCs w:val="18"/>
          </w:rPr>
          <w:fldChar w:fldCharType="separate"/>
        </w:r>
        <w:r w:rsidR="0058618D">
          <w:rPr>
            <w:noProof/>
            <w:webHidden/>
            <w:sz w:val="18"/>
            <w:szCs w:val="18"/>
          </w:rPr>
          <w:t>30</w:t>
        </w:r>
        <w:r w:rsidRPr="00614EF9">
          <w:rPr>
            <w:noProof/>
            <w:webHidden/>
            <w:sz w:val="18"/>
            <w:szCs w:val="18"/>
          </w:rPr>
          <w:fldChar w:fldCharType="end"/>
        </w:r>
      </w:hyperlink>
    </w:p>
    <w:p w14:paraId="037286D5" w14:textId="34D00570"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4" w:history="1">
        <w:r w:rsidRPr="00614EF9">
          <w:rPr>
            <w:rStyle w:val="Lienhypertexte"/>
            <w:noProof/>
            <w:sz w:val="18"/>
            <w:szCs w:val="18"/>
            <w:lang w:val="fr-FR"/>
          </w:rPr>
          <w:t>Tableau 20: Mécanismes d’attribution des bandes de fréquences</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_Toc240614534 \h </w:instrText>
        </w:r>
        <w:r w:rsidRPr="00614EF9">
          <w:rPr>
            <w:noProof/>
            <w:webHidden/>
            <w:sz w:val="18"/>
            <w:szCs w:val="18"/>
          </w:rPr>
        </w:r>
        <w:r w:rsidRPr="00614EF9">
          <w:rPr>
            <w:noProof/>
            <w:webHidden/>
            <w:sz w:val="18"/>
            <w:szCs w:val="18"/>
          </w:rPr>
          <w:fldChar w:fldCharType="separate"/>
        </w:r>
        <w:r w:rsidR="0058618D">
          <w:rPr>
            <w:noProof/>
            <w:webHidden/>
            <w:sz w:val="18"/>
            <w:szCs w:val="18"/>
          </w:rPr>
          <w:t>31</w:t>
        </w:r>
        <w:r w:rsidRPr="00614EF9">
          <w:rPr>
            <w:noProof/>
            <w:webHidden/>
            <w:sz w:val="18"/>
            <w:szCs w:val="18"/>
          </w:rPr>
          <w:fldChar w:fldCharType="end"/>
        </w:r>
      </w:hyperlink>
    </w:p>
    <w:p w14:paraId="5BAB594B" w14:textId="3E022DE7"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5" w:history="1">
        <w:r w:rsidRPr="00614EF9">
          <w:rPr>
            <w:rStyle w:val="Lienhypertexte"/>
            <w:noProof/>
            <w:sz w:val="18"/>
            <w:szCs w:val="18"/>
            <w:lang w:val="fr-FR"/>
          </w:rPr>
          <w:t>Tableau 21: Récapitulatif des besoins en spectre exprimés par les opérateurs</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_Toc240614535 \h </w:instrText>
        </w:r>
        <w:r w:rsidRPr="00614EF9">
          <w:rPr>
            <w:noProof/>
            <w:webHidden/>
            <w:sz w:val="18"/>
            <w:szCs w:val="18"/>
          </w:rPr>
        </w:r>
        <w:r w:rsidRPr="00614EF9">
          <w:rPr>
            <w:noProof/>
            <w:webHidden/>
            <w:sz w:val="18"/>
            <w:szCs w:val="18"/>
          </w:rPr>
          <w:fldChar w:fldCharType="separate"/>
        </w:r>
        <w:r w:rsidR="0058618D">
          <w:rPr>
            <w:noProof/>
            <w:webHidden/>
            <w:sz w:val="18"/>
            <w:szCs w:val="18"/>
          </w:rPr>
          <w:t>32</w:t>
        </w:r>
        <w:r w:rsidRPr="00614EF9">
          <w:rPr>
            <w:noProof/>
            <w:webHidden/>
            <w:sz w:val="18"/>
            <w:szCs w:val="18"/>
          </w:rPr>
          <w:fldChar w:fldCharType="end"/>
        </w:r>
      </w:hyperlink>
    </w:p>
    <w:p w14:paraId="578D69C3" w14:textId="19486E8B"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6" w:history="1">
        <w:r w:rsidRPr="00614EF9">
          <w:rPr>
            <w:rStyle w:val="Lienhypertexte"/>
            <w:noProof/>
            <w:sz w:val="18"/>
            <w:szCs w:val="18"/>
            <w:lang w:val="fr-FR"/>
          </w:rPr>
          <w:t>Tableau 22: Chronogramme de mise en œuvre du plan de transition</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_Toc240614536 \h </w:instrText>
        </w:r>
        <w:r w:rsidRPr="00614EF9">
          <w:rPr>
            <w:noProof/>
            <w:webHidden/>
            <w:sz w:val="18"/>
            <w:szCs w:val="18"/>
          </w:rPr>
        </w:r>
        <w:r w:rsidRPr="00614EF9">
          <w:rPr>
            <w:noProof/>
            <w:webHidden/>
            <w:sz w:val="18"/>
            <w:szCs w:val="18"/>
          </w:rPr>
          <w:fldChar w:fldCharType="separate"/>
        </w:r>
        <w:r w:rsidR="0058618D">
          <w:rPr>
            <w:noProof/>
            <w:webHidden/>
            <w:sz w:val="18"/>
            <w:szCs w:val="18"/>
          </w:rPr>
          <w:t>36</w:t>
        </w:r>
        <w:r w:rsidRPr="00614EF9">
          <w:rPr>
            <w:noProof/>
            <w:webHidden/>
            <w:sz w:val="18"/>
            <w:szCs w:val="18"/>
          </w:rPr>
          <w:fldChar w:fldCharType="end"/>
        </w:r>
      </w:hyperlink>
    </w:p>
    <w:p w14:paraId="671F3DAC" w14:textId="246A15DA"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7" w:history="1">
        <w:r w:rsidRPr="00614EF9">
          <w:rPr>
            <w:rStyle w:val="Lienhypertexte"/>
            <w:noProof/>
            <w:sz w:val="18"/>
            <w:szCs w:val="18"/>
            <w:lang w:val="fr-FR"/>
          </w:rPr>
          <w:t>Tableau 23: Registre des risques du plan de transition23</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_Toc240614537 \h </w:instrText>
        </w:r>
        <w:r w:rsidRPr="00614EF9">
          <w:rPr>
            <w:noProof/>
            <w:webHidden/>
            <w:sz w:val="18"/>
            <w:szCs w:val="18"/>
          </w:rPr>
        </w:r>
        <w:r w:rsidRPr="00614EF9">
          <w:rPr>
            <w:noProof/>
            <w:webHidden/>
            <w:sz w:val="18"/>
            <w:szCs w:val="18"/>
          </w:rPr>
          <w:fldChar w:fldCharType="separate"/>
        </w:r>
        <w:r w:rsidR="0058618D">
          <w:rPr>
            <w:noProof/>
            <w:webHidden/>
            <w:sz w:val="18"/>
            <w:szCs w:val="18"/>
          </w:rPr>
          <w:t>38</w:t>
        </w:r>
        <w:r w:rsidRPr="00614EF9">
          <w:rPr>
            <w:noProof/>
            <w:webHidden/>
            <w:sz w:val="18"/>
            <w:szCs w:val="18"/>
          </w:rPr>
          <w:fldChar w:fldCharType="end"/>
        </w:r>
      </w:hyperlink>
    </w:p>
    <w:p w14:paraId="348DD58A" w14:textId="1815EB12" w:rsidR="00614EF9" w:rsidRPr="00614EF9" w:rsidRDefault="00614EF9">
      <w:pPr>
        <w:pStyle w:val="Tabledesillustrations"/>
        <w:tabs>
          <w:tab w:val="right" w:leader="dot" w:pos="9628"/>
        </w:tabs>
        <w:rPr>
          <w:rFonts w:asciiTheme="minorHAnsi" w:eastAsiaTheme="minorEastAsia" w:hAnsiTheme="minorHAnsi" w:cstheme="minorBidi"/>
          <w:noProof/>
          <w:kern w:val="2"/>
          <w:sz w:val="18"/>
          <w:szCs w:val="18"/>
          <w14:ligatures w14:val="standardContextual"/>
        </w:rPr>
      </w:pPr>
      <w:hyperlink w:anchor="_Toc240614538" w:history="1">
        <w:r w:rsidRPr="00614EF9">
          <w:rPr>
            <w:rStyle w:val="Lienhypertexte"/>
            <w:noProof/>
            <w:sz w:val="18"/>
            <w:szCs w:val="18"/>
            <w:lang w:val="fr-FR"/>
          </w:rPr>
          <w:t>Tableau 24: Indicateurs de suivi de la mise en œuvre du plan de transition24</w:t>
        </w:r>
        <w:r w:rsidRPr="00614EF9">
          <w:rPr>
            <w:noProof/>
            <w:webHidden/>
            <w:sz w:val="18"/>
            <w:szCs w:val="18"/>
          </w:rPr>
          <w:tab/>
        </w:r>
        <w:r w:rsidRPr="00614EF9">
          <w:rPr>
            <w:noProof/>
            <w:webHidden/>
            <w:sz w:val="18"/>
            <w:szCs w:val="18"/>
          </w:rPr>
          <w:fldChar w:fldCharType="begin"/>
        </w:r>
        <w:r w:rsidRPr="00614EF9">
          <w:rPr>
            <w:noProof/>
            <w:webHidden/>
            <w:sz w:val="18"/>
            <w:szCs w:val="18"/>
          </w:rPr>
          <w:instrText xml:space="preserve"> PAGEREF _Toc240614538 \h </w:instrText>
        </w:r>
        <w:r w:rsidRPr="00614EF9">
          <w:rPr>
            <w:noProof/>
            <w:webHidden/>
            <w:sz w:val="18"/>
            <w:szCs w:val="18"/>
          </w:rPr>
        </w:r>
        <w:r w:rsidRPr="00614EF9">
          <w:rPr>
            <w:noProof/>
            <w:webHidden/>
            <w:sz w:val="18"/>
            <w:szCs w:val="18"/>
          </w:rPr>
          <w:fldChar w:fldCharType="separate"/>
        </w:r>
        <w:r w:rsidR="0058618D">
          <w:rPr>
            <w:noProof/>
            <w:webHidden/>
            <w:sz w:val="18"/>
            <w:szCs w:val="18"/>
          </w:rPr>
          <w:t>38</w:t>
        </w:r>
        <w:r w:rsidRPr="00614EF9">
          <w:rPr>
            <w:noProof/>
            <w:webHidden/>
            <w:sz w:val="18"/>
            <w:szCs w:val="18"/>
          </w:rPr>
          <w:fldChar w:fldCharType="end"/>
        </w:r>
      </w:hyperlink>
    </w:p>
    <w:p w14:paraId="4D9820DA" w14:textId="4045D1BF" w:rsidR="0083054A" w:rsidRPr="00614EF9" w:rsidRDefault="0083054A" w:rsidP="007D4BE4">
      <w:pPr>
        <w:pStyle w:val="Titre2"/>
        <w:numPr>
          <w:ilvl w:val="0"/>
          <w:numId w:val="0"/>
        </w:numPr>
        <w:rPr>
          <w:sz w:val="18"/>
          <w:szCs w:val="18"/>
          <w:lang w:val="fr-FR"/>
        </w:rPr>
      </w:pPr>
      <w:r w:rsidRPr="00614EF9">
        <w:rPr>
          <w:sz w:val="18"/>
          <w:szCs w:val="18"/>
          <w:lang w:val="fr-FR"/>
        </w:rPr>
        <w:fldChar w:fldCharType="end"/>
      </w:r>
    </w:p>
    <w:p w14:paraId="60311E84" w14:textId="77777777" w:rsidR="0083054A" w:rsidRPr="00614EF9" w:rsidRDefault="0083054A" w:rsidP="007D4BE4">
      <w:pPr>
        <w:pStyle w:val="Titre2"/>
        <w:numPr>
          <w:ilvl w:val="0"/>
          <w:numId w:val="0"/>
        </w:numPr>
        <w:rPr>
          <w:lang w:val="fr-FR"/>
        </w:rPr>
      </w:pPr>
    </w:p>
    <w:p w14:paraId="576C8731" w14:textId="77777777" w:rsidR="0083054A" w:rsidRPr="00614EF9" w:rsidRDefault="0083054A" w:rsidP="007D4BE4">
      <w:pPr>
        <w:pStyle w:val="Titre2"/>
        <w:numPr>
          <w:ilvl w:val="0"/>
          <w:numId w:val="0"/>
        </w:numPr>
        <w:rPr>
          <w:lang w:val="fr-FR"/>
        </w:rPr>
      </w:pPr>
    </w:p>
    <w:p w14:paraId="798B4973" w14:textId="77777777" w:rsidR="0083054A" w:rsidRPr="00614EF9" w:rsidRDefault="0083054A" w:rsidP="0083054A">
      <w:pPr>
        <w:rPr>
          <w:lang w:val="fr-FR"/>
        </w:rPr>
      </w:pPr>
      <w:r w:rsidRPr="00614EF9">
        <w:rPr>
          <w:lang w:val="fr-FR"/>
        </w:rPr>
        <w:br w:type="page"/>
      </w:r>
    </w:p>
    <w:p w14:paraId="6F8DBB22" w14:textId="77777777" w:rsidR="0083054A" w:rsidRPr="00614EF9" w:rsidRDefault="0083054A" w:rsidP="0083054A">
      <w:pPr>
        <w:pStyle w:val="Titre1"/>
        <w:numPr>
          <w:ilvl w:val="0"/>
          <w:numId w:val="0"/>
        </w:numPr>
        <w:rPr>
          <w:lang w:val="fr-FR"/>
        </w:rPr>
      </w:pPr>
      <w:bookmarkStart w:id="13" w:name="_Toc240614342"/>
      <w:r w:rsidRPr="00614EF9">
        <w:rPr>
          <w:lang w:val="fr-FR"/>
        </w:rPr>
        <w:lastRenderedPageBreak/>
        <w:t>Acronymes</w:t>
      </w:r>
      <w:bookmarkEnd w:id="13"/>
    </w:p>
    <w:p w14:paraId="0BA05656" w14:textId="77777777" w:rsidR="0058618D" w:rsidRDefault="008D0439" w:rsidP="0083054A">
      <w:pPr>
        <w:rPr>
          <w:noProof/>
          <w:sz w:val="18"/>
          <w:szCs w:val="18"/>
          <w:lang w:val="fr-FR"/>
        </w:rPr>
        <w:sectPr w:rsidR="0058618D" w:rsidSect="0058618D">
          <w:headerReference w:type="default" r:id="rId8"/>
          <w:footerReference w:type="default" r:id="rId9"/>
          <w:pgSz w:w="11906" w:h="16838"/>
          <w:pgMar w:top="1134" w:right="1134" w:bottom="1134" w:left="1134" w:header="708" w:footer="708" w:gutter="0"/>
          <w:cols w:space="720"/>
          <w:titlePg/>
          <w:docGrid w:linePitch="360"/>
        </w:sectPr>
      </w:pPr>
      <w:r w:rsidRPr="00614EF9">
        <w:rPr>
          <w:sz w:val="18"/>
          <w:szCs w:val="18"/>
          <w:lang w:val="fr-FR"/>
        </w:rPr>
        <w:fldChar w:fldCharType="begin"/>
      </w:r>
      <w:r w:rsidRPr="00614EF9">
        <w:rPr>
          <w:sz w:val="18"/>
          <w:szCs w:val="18"/>
          <w:lang w:val="fr-FR"/>
        </w:rPr>
        <w:instrText xml:space="preserve"> INDEX \e "</w:instrText>
      </w:r>
      <w:r w:rsidRPr="00614EF9">
        <w:rPr>
          <w:sz w:val="18"/>
          <w:szCs w:val="18"/>
          <w:lang w:val="fr-FR"/>
        </w:rPr>
        <w:tab/>
        <w:instrText xml:space="preserve">" \h "A" \c "2" \z "1036" </w:instrText>
      </w:r>
      <w:r w:rsidRPr="00614EF9">
        <w:rPr>
          <w:sz w:val="18"/>
          <w:szCs w:val="18"/>
          <w:lang w:val="fr-FR"/>
        </w:rPr>
        <w:fldChar w:fldCharType="separate"/>
      </w:r>
    </w:p>
    <w:p w14:paraId="211CD758"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3</w:t>
      </w:r>
    </w:p>
    <w:p w14:paraId="6A7E03FD" w14:textId="77777777" w:rsidR="0058618D" w:rsidRDefault="0058618D">
      <w:pPr>
        <w:pStyle w:val="Index1"/>
        <w:tabs>
          <w:tab w:val="right" w:leader="dot" w:pos="4449"/>
        </w:tabs>
        <w:rPr>
          <w:noProof/>
          <w:lang w:val="fr-FR"/>
        </w:rPr>
      </w:pPr>
      <w:r w:rsidRPr="00D30519">
        <w:rPr>
          <w:rFonts w:ascii="Century Gothic" w:hAnsi="Century Gothic"/>
          <w:noProof/>
          <w:lang w:val="fr-FR"/>
        </w:rPr>
        <w:t>3GPP</w:t>
      </w:r>
    </w:p>
    <w:p w14:paraId="7F6BE383" w14:textId="77777777" w:rsidR="0058618D" w:rsidRDefault="0058618D">
      <w:pPr>
        <w:pStyle w:val="Index2"/>
        <w:tabs>
          <w:tab w:val="right" w:leader="dot" w:pos="4449"/>
        </w:tabs>
        <w:rPr>
          <w:noProof/>
          <w:lang w:val="fr-FR"/>
        </w:rPr>
      </w:pPr>
      <w:r w:rsidRPr="00D30519">
        <w:rPr>
          <w:rFonts w:ascii="Century Gothic" w:hAnsi="Century Gothic"/>
          <w:noProof/>
          <w:lang w:val="fr-FR"/>
        </w:rPr>
        <w:t>Projet de partenariat de troisième génération</w:t>
      </w:r>
      <w:r>
        <w:rPr>
          <w:noProof/>
          <w:lang w:val="fr-FR"/>
        </w:rPr>
        <w:tab/>
        <w:t>8</w:t>
      </w:r>
    </w:p>
    <w:p w14:paraId="69041A4A"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4</w:t>
      </w:r>
    </w:p>
    <w:p w14:paraId="5D7172E8" w14:textId="77777777" w:rsidR="0058618D" w:rsidRDefault="0058618D">
      <w:pPr>
        <w:pStyle w:val="Index1"/>
        <w:tabs>
          <w:tab w:val="right" w:leader="dot" w:pos="4449"/>
        </w:tabs>
        <w:rPr>
          <w:noProof/>
          <w:lang w:val="fr-FR"/>
        </w:rPr>
      </w:pPr>
      <w:r w:rsidRPr="00D30519">
        <w:rPr>
          <w:rFonts w:ascii="Century Gothic" w:hAnsi="Century Gothic"/>
          <w:noProof/>
          <w:lang w:val="fr-FR"/>
        </w:rPr>
        <w:t>4G</w:t>
      </w:r>
    </w:p>
    <w:p w14:paraId="645208F1" w14:textId="77777777" w:rsidR="0058618D" w:rsidRDefault="0058618D">
      <w:pPr>
        <w:pStyle w:val="Index2"/>
        <w:tabs>
          <w:tab w:val="right" w:leader="dot" w:pos="4449"/>
        </w:tabs>
        <w:rPr>
          <w:noProof/>
          <w:lang w:val="fr-FR"/>
        </w:rPr>
      </w:pPr>
      <w:r w:rsidRPr="00D30519">
        <w:rPr>
          <w:rFonts w:ascii="Century Gothic" w:hAnsi="Century Gothic"/>
          <w:noProof/>
          <w:lang w:val="fr-FR"/>
        </w:rPr>
        <w:t>4ème Génération de réseaux mobiles</w:t>
      </w:r>
      <w:r>
        <w:rPr>
          <w:noProof/>
          <w:lang w:val="fr-FR"/>
        </w:rPr>
        <w:tab/>
        <w:t>7</w:t>
      </w:r>
    </w:p>
    <w:p w14:paraId="3A2DFD83"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5</w:t>
      </w:r>
    </w:p>
    <w:p w14:paraId="11635D04" w14:textId="77777777" w:rsidR="0058618D" w:rsidRDefault="0058618D">
      <w:pPr>
        <w:pStyle w:val="Index1"/>
        <w:tabs>
          <w:tab w:val="right" w:leader="dot" w:pos="4449"/>
        </w:tabs>
        <w:rPr>
          <w:noProof/>
          <w:lang w:val="fr-FR"/>
        </w:rPr>
      </w:pPr>
      <w:r w:rsidRPr="00D30519">
        <w:rPr>
          <w:rFonts w:ascii="Century Gothic" w:hAnsi="Century Gothic"/>
          <w:noProof/>
          <w:lang w:val="fr-FR"/>
        </w:rPr>
        <w:t>5G</w:t>
      </w:r>
    </w:p>
    <w:p w14:paraId="2BF40E70" w14:textId="77777777" w:rsidR="0058618D" w:rsidRDefault="0058618D">
      <w:pPr>
        <w:pStyle w:val="Index2"/>
        <w:tabs>
          <w:tab w:val="right" w:leader="dot" w:pos="4449"/>
        </w:tabs>
        <w:rPr>
          <w:noProof/>
          <w:lang w:val="fr-FR"/>
        </w:rPr>
      </w:pPr>
      <w:r w:rsidRPr="00D30519">
        <w:rPr>
          <w:rFonts w:ascii="Century Gothic" w:hAnsi="Century Gothic"/>
          <w:noProof/>
          <w:lang w:val="fr-FR"/>
        </w:rPr>
        <w:t>5ème Génération de Réseaux mobiles</w:t>
      </w:r>
      <w:r>
        <w:rPr>
          <w:noProof/>
          <w:lang w:val="fr-FR"/>
        </w:rPr>
        <w:tab/>
        <w:t>7</w:t>
      </w:r>
    </w:p>
    <w:p w14:paraId="4CDAAA11"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A</w:t>
      </w:r>
    </w:p>
    <w:p w14:paraId="7BBB1DAC" w14:textId="77777777" w:rsidR="0058618D" w:rsidRDefault="0058618D">
      <w:pPr>
        <w:pStyle w:val="Index1"/>
        <w:tabs>
          <w:tab w:val="right" w:leader="dot" w:pos="4449"/>
        </w:tabs>
        <w:rPr>
          <w:noProof/>
          <w:lang w:val="fr-FR"/>
        </w:rPr>
      </w:pPr>
      <w:r w:rsidRPr="00D30519">
        <w:rPr>
          <w:noProof/>
          <w:lang w:val="fr-FR"/>
        </w:rPr>
        <w:t>ARCEP</w:t>
      </w:r>
    </w:p>
    <w:p w14:paraId="546E44F9" w14:textId="77777777" w:rsidR="0058618D" w:rsidRDefault="0058618D">
      <w:pPr>
        <w:pStyle w:val="Index2"/>
        <w:tabs>
          <w:tab w:val="right" w:leader="dot" w:pos="4449"/>
        </w:tabs>
        <w:rPr>
          <w:noProof/>
          <w:lang w:val="fr-FR"/>
        </w:rPr>
      </w:pPr>
      <w:r>
        <w:rPr>
          <w:noProof/>
          <w:lang w:val="fr-FR"/>
        </w:rPr>
        <w:t>Autorité de Régulation des Communications Électroniques et de la Poste</w:t>
      </w:r>
      <w:r>
        <w:rPr>
          <w:noProof/>
          <w:lang w:val="fr-FR"/>
        </w:rPr>
        <w:tab/>
        <w:t>7</w:t>
      </w:r>
    </w:p>
    <w:p w14:paraId="2558D71B"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C</w:t>
      </w:r>
    </w:p>
    <w:p w14:paraId="5C40E7B2" w14:textId="77777777" w:rsidR="0058618D" w:rsidRDefault="0058618D">
      <w:pPr>
        <w:pStyle w:val="Index1"/>
        <w:tabs>
          <w:tab w:val="right" w:leader="dot" w:pos="4449"/>
        </w:tabs>
        <w:rPr>
          <w:noProof/>
          <w:lang w:val="fr-FR"/>
        </w:rPr>
      </w:pPr>
      <w:r w:rsidRPr="00D30519">
        <w:rPr>
          <w:rFonts w:ascii="Century Gothic" w:hAnsi="Century Gothic"/>
          <w:noProof/>
          <w:lang w:val="fr-FR"/>
        </w:rPr>
        <w:t>CMR</w:t>
      </w:r>
    </w:p>
    <w:p w14:paraId="41057D0B" w14:textId="77777777" w:rsidR="0058618D" w:rsidRDefault="0058618D">
      <w:pPr>
        <w:pStyle w:val="Index2"/>
        <w:tabs>
          <w:tab w:val="right" w:leader="dot" w:pos="4449"/>
        </w:tabs>
        <w:rPr>
          <w:noProof/>
          <w:lang w:val="fr-FR"/>
        </w:rPr>
      </w:pPr>
      <w:r w:rsidRPr="00D30519">
        <w:rPr>
          <w:rFonts w:ascii="Century Gothic" w:hAnsi="Century Gothic"/>
          <w:noProof/>
          <w:lang w:val="fr-FR"/>
        </w:rPr>
        <w:t>Conférence mondiale des radiocommunications</w:t>
      </w:r>
      <w:r>
        <w:rPr>
          <w:noProof/>
          <w:lang w:val="fr-FR"/>
        </w:rPr>
        <w:tab/>
        <w:t>8</w:t>
      </w:r>
    </w:p>
    <w:p w14:paraId="0A9ADF9F"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D</w:t>
      </w:r>
    </w:p>
    <w:p w14:paraId="72819B51" w14:textId="77777777" w:rsidR="0058618D" w:rsidRDefault="0058618D">
      <w:pPr>
        <w:pStyle w:val="Index1"/>
        <w:tabs>
          <w:tab w:val="right" w:leader="dot" w:pos="4449"/>
        </w:tabs>
        <w:rPr>
          <w:noProof/>
          <w:lang w:val="fr-FR"/>
        </w:rPr>
      </w:pPr>
      <w:r w:rsidRPr="00D30519">
        <w:rPr>
          <w:noProof/>
          <w:lang w:val="fr-FR"/>
        </w:rPr>
        <w:t>DSA</w:t>
      </w:r>
    </w:p>
    <w:p w14:paraId="71307A58" w14:textId="77777777" w:rsidR="0058618D" w:rsidRDefault="0058618D">
      <w:pPr>
        <w:pStyle w:val="Index2"/>
        <w:tabs>
          <w:tab w:val="right" w:leader="dot" w:pos="4449"/>
        </w:tabs>
        <w:rPr>
          <w:noProof/>
          <w:lang w:val="fr-FR"/>
        </w:rPr>
      </w:pPr>
      <w:r>
        <w:rPr>
          <w:noProof/>
          <w:lang w:val="fr-FR"/>
        </w:rPr>
        <w:t>Dynamic Spectrum Alliance</w:t>
      </w:r>
      <w:r>
        <w:rPr>
          <w:noProof/>
          <w:lang w:val="fr-FR"/>
        </w:rPr>
        <w:tab/>
        <w:t>10</w:t>
      </w:r>
    </w:p>
    <w:p w14:paraId="6BD26ED6"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F</w:t>
      </w:r>
    </w:p>
    <w:p w14:paraId="02F3051A" w14:textId="77777777" w:rsidR="0058618D" w:rsidRDefault="0058618D">
      <w:pPr>
        <w:pStyle w:val="Index1"/>
        <w:tabs>
          <w:tab w:val="right" w:leader="dot" w:pos="4449"/>
        </w:tabs>
        <w:rPr>
          <w:noProof/>
          <w:lang w:val="fr-FR"/>
        </w:rPr>
      </w:pPr>
      <w:r w:rsidRPr="00D30519">
        <w:rPr>
          <w:noProof/>
          <w:lang w:val="fr-FR"/>
        </w:rPr>
        <w:t>FAI</w:t>
      </w:r>
    </w:p>
    <w:p w14:paraId="40176593" w14:textId="77777777" w:rsidR="0058618D" w:rsidRDefault="0058618D">
      <w:pPr>
        <w:pStyle w:val="Index2"/>
        <w:tabs>
          <w:tab w:val="right" w:leader="dot" w:pos="4449"/>
        </w:tabs>
        <w:rPr>
          <w:noProof/>
          <w:lang w:val="fr-FR"/>
        </w:rPr>
      </w:pPr>
      <w:r>
        <w:rPr>
          <w:noProof/>
          <w:lang w:val="fr-FR"/>
        </w:rPr>
        <w:t>Fournisseurs d'accès à Internet</w:t>
      </w:r>
      <w:r>
        <w:rPr>
          <w:noProof/>
          <w:lang w:val="fr-FR"/>
        </w:rPr>
        <w:tab/>
        <w:t>9</w:t>
      </w:r>
    </w:p>
    <w:p w14:paraId="5CA09BE8"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G</w:t>
      </w:r>
    </w:p>
    <w:p w14:paraId="188A0C85" w14:textId="77777777" w:rsidR="0058618D" w:rsidRDefault="0058618D">
      <w:pPr>
        <w:pStyle w:val="Index1"/>
        <w:tabs>
          <w:tab w:val="right" w:leader="dot" w:pos="4449"/>
        </w:tabs>
        <w:rPr>
          <w:noProof/>
          <w:lang w:val="fr-FR"/>
        </w:rPr>
      </w:pPr>
      <w:r w:rsidRPr="00D30519">
        <w:rPr>
          <w:rFonts w:ascii="Century Gothic" w:hAnsi="Century Gothic"/>
          <w:noProof/>
          <w:lang w:val="fr-FR"/>
        </w:rPr>
        <w:t>GE06</w:t>
      </w:r>
    </w:p>
    <w:p w14:paraId="030EF9C0" w14:textId="77777777" w:rsidR="0058618D" w:rsidRDefault="0058618D">
      <w:pPr>
        <w:pStyle w:val="Index2"/>
        <w:tabs>
          <w:tab w:val="right" w:leader="dot" w:pos="4449"/>
        </w:tabs>
        <w:rPr>
          <w:noProof/>
          <w:lang w:val="fr-FR"/>
        </w:rPr>
      </w:pPr>
      <w:r w:rsidRPr="00D30519">
        <w:rPr>
          <w:rFonts w:ascii="Century Gothic" w:hAnsi="Century Gothic"/>
          <w:noProof/>
          <w:lang w:val="fr-FR"/>
        </w:rPr>
        <w:t>Accord régional de Genève 2006</w:t>
      </w:r>
      <w:r>
        <w:rPr>
          <w:noProof/>
          <w:lang w:val="fr-FR"/>
        </w:rPr>
        <w:tab/>
        <w:t>8</w:t>
      </w:r>
    </w:p>
    <w:p w14:paraId="708FED66" w14:textId="77777777" w:rsidR="0058618D" w:rsidRDefault="0058618D">
      <w:pPr>
        <w:pStyle w:val="Index1"/>
        <w:tabs>
          <w:tab w:val="right" w:leader="dot" w:pos="4449"/>
        </w:tabs>
        <w:rPr>
          <w:noProof/>
          <w:lang w:val="fr-FR"/>
        </w:rPr>
      </w:pPr>
      <w:r w:rsidRPr="00D30519">
        <w:rPr>
          <w:noProof/>
          <w:lang w:val="fr-FR"/>
        </w:rPr>
        <w:t>GHz</w:t>
      </w:r>
    </w:p>
    <w:p w14:paraId="5C935A2A" w14:textId="77777777" w:rsidR="0058618D" w:rsidRDefault="0058618D">
      <w:pPr>
        <w:pStyle w:val="Index2"/>
        <w:tabs>
          <w:tab w:val="right" w:leader="dot" w:pos="4449"/>
        </w:tabs>
        <w:rPr>
          <w:noProof/>
          <w:lang w:val="fr-FR"/>
        </w:rPr>
      </w:pPr>
      <w:r>
        <w:rPr>
          <w:noProof/>
          <w:lang w:val="fr-FR"/>
        </w:rPr>
        <w:t>Giga Hertz</w:t>
      </w:r>
      <w:r>
        <w:rPr>
          <w:noProof/>
          <w:lang w:val="fr-FR"/>
        </w:rPr>
        <w:tab/>
        <w:t>10</w:t>
      </w:r>
    </w:p>
    <w:p w14:paraId="1BF6F49F"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I</w:t>
      </w:r>
    </w:p>
    <w:p w14:paraId="6C1338CC" w14:textId="77777777" w:rsidR="0058618D" w:rsidRDefault="0058618D">
      <w:pPr>
        <w:pStyle w:val="Index1"/>
        <w:tabs>
          <w:tab w:val="right" w:leader="dot" w:pos="4449"/>
        </w:tabs>
        <w:rPr>
          <w:noProof/>
          <w:lang w:val="fr-FR"/>
        </w:rPr>
      </w:pPr>
      <w:r w:rsidRPr="00D30519">
        <w:rPr>
          <w:noProof/>
          <w:lang w:val="fr-FR"/>
        </w:rPr>
        <w:t>IMT</w:t>
      </w:r>
    </w:p>
    <w:p w14:paraId="3876DD6D" w14:textId="77777777" w:rsidR="0058618D" w:rsidRDefault="0058618D">
      <w:pPr>
        <w:pStyle w:val="Index2"/>
        <w:tabs>
          <w:tab w:val="right" w:leader="dot" w:pos="4449"/>
        </w:tabs>
        <w:rPr>
          <w:noProof/>
          <w:lang w:val="fr-FR"/>
        </w:rPr>
      </w:pPr>
      <w:r>
        <w:rPr>
          <w:noProof/>
          <w:lang w:val="fr-FR"/>
        </w:rPr>
        <w:t>Télécommunications mobiles internationales</w:t>
      </w:r>
      <w:r>
        <w:rPr>
          <w:noProof/>
          <w:lang w:val="fr-FR"/>
        </w:rPr>
        <w:tab/>
        <w:t>9</w:t>
      </w:r>
    </w:p>
    <w:p w14:paraId="4319670E" w14:textId="77777777" w:rsidR="0058618D" w:rsidRDefault="0058618D">
      <w:pPr>
        <w:pStyle w:val="Index1"/>
        <w:tabs>
          <w:tab w:val="right" w:leader="dot" w:pos="4449"/>
        </w:tabs>
        <w:rPr>
          <w:noProof/>
          <w:lang w:val="fr-FR"/>
        </w:rPr>
      </w:pPr>
      <w:r w:rsidRPr="00D30519">
        <w:rPr>
          <w:noProof/>
          <w:lang w:val="fr-FR"/>
        </w:rPr>
        <w:t>INS</w:t>
      </w:r>
    </w:p>
    <w:p w14:paraId="4093505D" w14:textId="77777777" w:rsidR="0058618D" w:rsidRDefault="0058618D">
      <w:pPr>
        <w:pStyle w:val="Index2"/>
        <w:tabs>
          <w:tab w:val="right" w:leader="dot" w:pos="4449"/>
        </w:tabs>
        <w:rPr>
          <w:noProof/>
          <w:lang w:val="fr-FR"/>
        </w:rPr>
      </w:pPr>
      <w:r>
        <w:rPr>
          <w:noProof/>
          <w:lang w:val="fr-FR"/>
        </w:rPr>
        <w:t>Institut national de la statistique</w:t>
      </w:r>
      <w:r>
        <w:rPr>
          <w:noProof/>
          <w:lang w:val="fr-FR"/>
        </w:rPr>
        <w:tab/>
        <w:t>15</w:t>
      </w:r>
    </w:p>
    <w:p w14:paraId="6E7ED62D"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K</w:t>
      </w:r>
    </w:p>
    <w:p w14:paraId="12EB66C0" w14:textId="77777777" w:rsidR="0058618D" w:rsidRDefault="0058618D">
      <w:pPr>
        <w:pStyle w:val="Index1"/>
        <w:tabs>
          <w:tab w:val="right" w:leader="dot" w:pos="4449"/>
        </w:tabs>
        <w:rPr>
          <w:noProof/>
          <w:lang w:val="fr-FR"/>
        </w:rPr>
      </w:pPr>
      <w:r w:rsidRPr="00D30519">
        <w:rPr>
          <w:noProof/>
          <w:lang w:val="fr-FR"/>
        </w:rPr>
        <w:t>kW</w:t>
      </w:r>
    </w:p>
    <w:p w14:paraId="6BD18487" w14:textId="77777777" w:rsidR="0058618D" w:rsidRDefault="0058618D">
      <w:pPr>
        <w:pStyle w:val="Index2"/>
        <w:tabs>
          <w:tab w:val="right" w:leader="dot" w:pos="4449"/>
        </w:tabs>
        <w:rPr>
          <w:noProof/>
          <w:lang w:val="fr-FR"/>
        </w:rPr>
      </w:pPr>
      <w:r>
        <w:rPr>
          <w:noProof/>
          <w:lang w:val="fr-FR"/>
        </w:rPr>
        <w:t>kilo Watt</w:t>
      </w:r>
      <w:r>
        <w:rPr>
          <w:noProof/>
          <w:lang w:val="fr-FR"/>
        </w:rPr>
        <w:tab/>
        <w:t>14</w:t>
      </w:r>
    </w:p>
    <w:p w14:paraId="5FD61265"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M</w:t>
      </w:r>
    </w:p>
    <w:p w14:paraId="328CA75A" w14:textId="77777777" w:rsidR="0058618D" w:rsidRDefault="0058618D">
      <w:pPr>
        <w:pStyle w:val="Index1"/>
        <w:tabs>
          <w:tab w:val="right" w:leader="dot" w:pos="4449"/>
        </w:tabs>
        <w:rPr>
          <w:noProof/>
          <w:lang w:val="fr-FR"/>
        </w:rPr>
      </w:pPr>
      <w:r w:rsidRPr="00D30519">
        <w:rPr>
          <w:rFonts w:ascii="Century Gothic" w:hAnsi="Century Gothic"/>
          <w:noProof/>
          <w:lang w:val="fr-FR"/>
        </w:rPr>
        <w:t>MHz</w:t>
      </w:r>
    </w:p>
    <w:p w14:paraId="58FCE86F" w14:textId="77777777" w:rsidR="0058618D" w:rsidRDefault="0058618D">
      <w:pPr>
        <w:pStyle w:val="Index2"/>
        <w:tabs>
          <w:tab w:val="right" w:leader="dot" w:pos="4449"/>
        </w:tabs>
        <w:rPr>
          <w:noProof/>
          <w:lang w:val="fr-FR"/>
        </w:rPr>
      </w:pPr>
      <w:r w:rsidRPr="00D30519">
        <w:rPr>
          <w:rFonts w:ascii="Century Gothic" w:hAnsi="Century Gothic"/>
          <w:noProof/>
          <w:lang w:val="fr-FR"/>
        </w:rPr>
        <w:t>Méga Hertz</w:t>
      </w:r>
      <w:r>
        <w:rPr>
          <w:noProof/>
          <w:lang w:val="fr-FR"/>
        </w:rPr>
        <w:tab/>
        <w:t>8</w:t>
      </w:r>
    </w:p>
    <w:p w14:paraId="796DC1C3"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O</w:t>
      </w:r>
    </w:p>
    <w:p w14:paraId="02AF5512" w14:textId="77777777" w:rsidR="0058618D" w:rsidRDefault="0058618D">
      <w:pPr>
        <w:pStyle w:val="Index1"/>
        <w:tabs>
          <w:tab w:val="right" w:leader="dot" w:pos="4449"/>
        </w:tabs>
        <w:rPr>
          <w:noProof/>
          <w:lang w:val="fr-FR"/>
        </w:rPr>
      </w:pPr>
      <w:r w:rsidRPr="00D30519">
        <w:rPr>
          <w:rFonts w:ascii="Century Gothic" w:hAnsi="Century Gothic"/>
          <w:noProof/>
          <w:lang w:val="fr-FR"/>
        </w:rPr>
        <w:t>ONC</w:t>
      </w:r>
    </w:p>
    <w:p w14:paraId="1B5F575A" w14:textId="77777777" w:rsidR="0058618D" w:rsidRDefault="0058618D">
      <w:pPr>
        <w:pStyle w:val="Index2"/>
        <w:tabs>
          <w:tab w:val="right" w:leader="dot" w:pos="4449"/>
        </w:tabs>
        <w:rPr>
          <w:noProof/>
          <w:lang w:val="fr-FR"/>
        </w:rPr>
      </w:pPr>
      <w:r w:rsidRPr="00D30519">
        <w:rPr>
          <w:rFonts w:ascii="Century Gothic" w:hAnsi="Century Gothic"/>
          <w:noProof/>
          <w:lang w:val="fr-FR"/>
        </w:rPr>
        <w:t>Observatoire national de la Communication</w:t>
      </w:r>
      <w:r>
        <w:rPr>
          <w:noProof/>
          <w:lang w:val="fr-FR"/>
        </w:rPr>
        <w:tab/>
        <w:t>11</w:t>
      </w:r>
    </w:p>
    <w:p w14:paraId="33A6D9EF"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P</w:t>
      </w:r>
    </w:p>
    <w:p w14:paraId="2303862F" w14:textId="77777777" w:rsidR="0058618D" w:rsidRDefault="0058618D">
      <w:pPr>
        <w:pStyle w:val="Index1"/>
        <w:tabs>
          <w:tab w:val="right" w:leader="dot" w:pos="4449"/>
        </w:tabs>
        <w:rPr>
          <w:noProof/>
          <w:lang w:val="fr-FR"/>
        </w:rPr>
      </w:pPr>
      <w:r w:rsidRPr="00D30519">
        <w:rPr>
          <w:i/>
          <w:iCs/>
          <w:noProof/>
          <w:lang w:val="fr-FR"/>
        </w:rPr>
        <w:t>PNAF</w:t>
      </w:r>
    </w:p>
    <w:p w14:paraId="593F832D" w14:textId="77777777" w:rsidR="0058618D" w:rsidRDefault="0058618D">
      <w:pPr>
        <w:pStyle w:val="Index2"/>
        <w:tabs>
          <w:tab w:val="right" w:leader="dot" w:pos="4449"/>
        </w:tabs>
        <w:rPr>
          <w:noProof/>
          <w:lang w:val="fr-FR"/>
        </w:rPr>
      </w:pPr>
      <w:r>
        <w:rPr>
          <w:noProof/>
          <w:lang w:val="fr-FR"/>
        </w:rPr>
        <w:t>Plan National d'Attribution des Fréquences</w:t>
      </w:r>
      <w:r>
        <w:rPr>
          <w:noProof/>
          <w:lang w:val="fr-FR"/>
        </w:rPr>
        <w:tab/>
        <w:t>7</w:t>
      </w:r>
    </w:p>
    <w:p w14:paraId="749847D6"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R</w:t>
      </w:r>
    </w:p>
    <w:p w14:paraId="1108CB90" w14:textId="77777777" w:rsidR="0058618D" w:rsidRDefault="0058618D">
      <w:pPr>
        <w:pStyle w:val="Index1"/>
        <w:tabs>
          <w:tab w:val="right" w:leader="dot" w:pos="4449"/>
        </w:tabs>
        <w:rPr>
          <w:noProof/>
          <w:lang w:val="fr-FR"/>
        </w:rPr>
      </w:pPr>
      <w:r w:rsidRPr="00D30519">
        <w:rPr>
          <w:rFonts w:ascii="Century Gothic" w:hAnsi="Century Gothic"/>
          <w:noProof/>
          <w:lang w:val="fr-FR"/>
        </w:rPr>
        <w:t>RNF</w:t>
      </w:r>
    </w:p>
    <w:p w14:paraId="19761FAB" w14:textId="77777777" w:rsidR="0058618D" w:rsidRDefault="0058618D">
      <w:pPr>
        <w:pStyle w:val="Index2"/>
        <w:tabs>
          <w:tab w:val="right" w:leader="dot" w:pos="4449"/>
        </w:tabs>
        <w:rPr>
          <w:noProof/>
          <w:lang w:val="fr-FR"/>
        </w:rPr>
      </w:pPr>
      <w:r w:rsidRPr="00D30519">
        <w:rPr>
          <w:rFonts w:ascii="Century Gothic" w:hAnsi="Century Gothic"/>
          <w:noProof/>
          <w:lang w:val="fr-FR"/>
        </w:rPr>
        <w:t>Registre national des fréquences</w:t>
      </w:r>
      <w:r>
        <w:rPr>
          <w:noProof/>
          <w:lang w:val="fr-FR"/>
        </w:rPr>
        <w:tab/>
        <w:t>12</w:t>
      </w:r>
    </w:p>
    <w:p w14:paraId="63A99A1E" w14:textId="77777777" w:rsidR="0058618D" w:rsidRDefault="0058618D">
      <w:pPr>
        <w:pStyle w:val="Index1"/>
        <w:tabs>
          <w:tab w:val="right" w:leader="dot" w:pos="4449"/>
        </w:tabs>
        <w:rPr>
          <w:noProof/>
          <w:lang w:val="fr-FR"/>
        </w:rPr>
      </w:pPr>
      <w:r w:rsidRPr="00D30519">
        <w:rPr>
          <w:rFonts w:ascii="Century Gothic" w:hAnsi="Century Gothic"/>
          <w:noProof/>
          <w:lang w:val="fr-FR"/>
        </w:rPr>
        <w:t>RR</w:t>
      </w:r>
    </w:p>
    <w:p w14:paraId="7C8A572C" w14:textId="77777777" w:rsidR="0058618D" w:rsidRDefault="0058618D">
      <w:pPr>
        <w:pStyle w:val="Index2"/>
        <w:tabs>
          <w:tab w:val="right" w:leader="dot" w:pos="4449"/>
        </w:tabs>
        <w:rPr>
          <w:noProof/>
          <w:lang w:val="fr-FR"/>
        </w:rPr>
      </w:pPr>
      <w:r w:rsidRPr="00D30519">
        <w:rPr>
          <w:rFonts w:ascii="Century Gothic" w:hAnsi="Century Gothic"/>
          <w:noProof/>
          <w:lang w:val="fr-FR"/>
        </w:rPr>
        <w:t>Réglement des radiocommunications</w:t>
      </w:r>
      <w:r>
        <w:rPr>
          <w:noProof/>
          <w:lang w:val="fr-FR"/>
        </w:rPr>
        <w:tab/>
        <w:t>8</w:t>
      </w:r>
    </w:p>
    <w:p w14:paraId="623F30DD"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S</w:t>
      </w:r>
    </w:p>
    <w:p w14:paraId="2D426E1F" w14:textId="77777777" w:rsidR="0058618D" w:rsidRDefault="0058618D">
      <w:pPr>
        <w:pStyle w:val="Index1"/>
        <w:tabs>
          <w:tab w:val="right" w:leader="dot" w:pos="4449"/>
        </w:tabs>
        <w:rPr>
          <w:noProof/>
          <w:lang w:val="fr-FR"/>
        </w:rPr>
      </w:pPr>
      <w:r w:rsidRPr="00D30519">
        <w:rPr>
          <w:i/>
          <w:iCs/>
          <w:noProof/>
          <w:lang w:val="fr-FR"/>
        </w:rPr>
        <w:t>simulcast</w:t>
      </w:r>
    </w:p>
    <w:p w14:paraId="68875AF3" w14:textId="77777777" w:rsidR="0058618D" w:rsidRDefault="0058618D">
      <w:pPr>
        <w:pStyle w:val="Index2"/>
        <w:tabs>
          <w:tab w:val="right" w:leader="dot" w:pos="4449"/>
        </w:tabs>
        <w:rPr>
          <w:noProof/>
          <w:lang w:val="fr-FR"/>
        </w:rPr>
      </w:pPr>
      <w:r>
        <w:rPr>
          <w:noProof/>
          <w:lang w:val="fr-FR"/>
        </w:rPr>
        <w:t>Double diffusion</w:t>
      </w:r>
      <w:r>
        <w:rPr>
          <w:noProof/>
          <w:lang w:val="fr-FR"/>
        </w:rPr>
        <w:tab/>
        <w:t>18</w:t>
      </w:r>
    </w:p>
    <w:p w14:paraId="2BB90541"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T</w:t>
      </w:r>
    </w:p>
    <w:p w14:paraId="740B5472" w14:textId="77777777" w:rsidR="0058618D" w:rsidRDefault="0058618D">
      <w:pPr>
        <w:pStyle w:val="Index1"/>
        <w:tabs>
          <w:tab w:val="right" w:leader="dot" w:pos="4449"/>
        </w:tabs>
        <w:rPr>
          <w:noProof/>
          <w:lang w:val="fr-FR"/>
        </w:rPr>
      </w:pPr>
      <w:r w:rsidRPr="00D30519">
        <w:rPr>
          <w:noProof/>
          <w:lang w:val="fr-FR"/>
        </w:rPr>
        <w:t>T1</w:t>
      </w:r>
    </w:p>
    <w:p w14:paraId="71B37E57" w14:textId="77777777" w:rsidR="0058618D" w:rsidRDefault="0058618D">
      <w:pPr>
        <w:pStyle w:val="Index2"/>
        <w:tabs>
          <w:tab w:val="right" w:leader="dot" w:pos="4449"/>
        </w:tabs>
        <w:rPr>
          <w:noProof/>
          <w:lang w:val="fr-FR"/>
        </w:rPr>
      </w:pPr>
      <w:r>
        <w:rPr>
          <w:noProof/>
          <w:lang w:val="fr-FR"/>
        </w:rPr>
        <w:t>Premier trimestre</w:t>
      </w:r>
      <w:r>
        <w:rPr>
          <w:noProof/>
          <w:lang w:val="fr-FR"/>
        </w:rPr>
        <w:tab/>
        <w:t>35</w:t>
      </w:r>
    </w:p>
    <w:p w14:paraId="0E02C339" w14:textId="77777777" w:rsidR="0058618D" w:rsidRDefault="0058618D">
      <w:pPr>
        <w:pStyle w:val="Index1"/>
        <w:tabs>
          <w:tab w:val="right" w:leader="dot" w:pos="4449"/>
        </w:tabs>
        <w:rPr>
          <w:noProof/>
          <w:lang w:val="fr-FR"/>
        </w:rPr>
      </w:pPr>
      <w:r w:rsidRPr="00D30519">
        <w:rPr>
          <w:noProof/>
          <w:lang w:val="fr-FR"/>
        </w:rPr>
        <w:t>T2</w:t>
      </w:r>
    </w:p>
    <w:p w14:paraId="1B081FAD" w14:textId="77777777" w:rsidR="0058618D" w:rsidRDefault="0058618D">
      <w:pPr>
        <w:pStyle w:val="Index2"/>
        <w:tabs>
          <w:tab w:val="right" w:leader="dot" w:pos="4449"/>
        </w:tabs>
        <w:rPr>
          <w:noProof/>
          <w:lang w:val="fr-FR"/>
        </w:rPr>
      </w:pPr>
      <w:r>
        <w:rPr>
          <w:noProof/>
          <w:lang w:val="fr-FR"/>
        </w:rPr>
        <w:t>2ème trimestre</w:t>
      </w:r>
      <w:r>
        <w:rPr>
          <w:noProof/>
          <w:lang w:val="fr-FR"/>
        </w:rPr>
        <w:tab/>
        <w:t>35</w:t>
      </w:r>
    </w:p>
    <w:p w14:paraId="21B3EBA5" w14:textId="77777777" w:rsidR="0058618D" w:rsidRDefault="0058618D">
      <w:pPr>
        <w:pStyle w:val="Index1"/>
        <w:tabs>
          <w:tab w:val="right" w:leader="dot" w:pos="4449"/>
        </w:tabs>
        <w:rPr>
          <w:noProof/>
          <w:lang w:val="fr-FR"/>
        </w:rPr>
      </w:pPr>
      <w:r w:rsidRPr="00D30519">
        <w:rPr>
          <w:noProof/>
          <w:lang w:val="fr-FR"/>
        </w:rPr>
        <w:t>T3</w:t>
      </w:r>
    </w:p>
    <w:p w14:paraId="0E63CA79" w14:textId="77777777" w:rsidR="0058618D" w:rsidRDefault="0058618D">
      <w:pPr>
        <w:pStyle w:val="Index2"/>
        <w:tabs>
          <w:tab w:val="right" w:leader="dot" w:pos="4449"/>
        </w:tabs>
        <w:rPr>
          <w:noProof/>
          <w:lang w:val="fr-FR"/>
        </w:rPr>
      </w:pPr>
      <w:r>
        <w:rPr>
          <w:noProof/>
          <w:lang w:val="fr-FR"/>
        </w:rPr>
        <w:t>3ème trimestre</w:t>
      </w:r>
      <w:r>
        <w:rPr>
          <w:noProof/>
          <w:lang w:val="fr-FR"/>
        </w:rPr>
        <w:tab/>
        <w:t>36</w:t>
      </w:r>
    </w:p>
    <w:p w14:paraId="255B39E8" w14:textId="77777777" w:rsidR="0058618D" w:rsidRDefault="0058618D">
      <w:pPr>
        <w:pStyle w:val="Index1"/>
        <w:tabs>
          <w:tab w:val="right" w:leader="dot" w:pos="4449"/>
        </w:tabs>
        <w:rPr>
          <w:noProof/>
          <w:lang w:val="fr-FR"/>
        </w:rPr>
      </w:pPr>
      <w:r w:rsidRPr="00D30519">
        <w:rPr>
          <w:noProof/>
          <w:lang w:val="fr-FR"/>
        </w:rPr>
        <w:t>T4</w:t>
      </w:r>
    </w:p>
    <w:p w14:paraId="37C94ABB" w14:textId="77777777" w:rsidR="0058618D" w:rsidRDefault="0058618D">
      <w:pPr>
        <w:pStyle w:val="Index2"/>
        <w:tabs>
          <w:tab w:val="right" w:leader="dot" w:pos="4449"/>
        </w:tabs>
        <w:rPr>
          <w:noProof/>
          <w:lang w:val="fr-FR"/>
        </w:rPr>
      </w:pPr>
      <w:r>
        <w:rPr>
          <w:noProof/>
          <w:lang w:val="fr-FR"/>
        </w:rPr>
        <w:t>4ème trimestre</w:t>
      </w:r>
      <w:r>
        <w:rPr>
          <w:noProof/>
          <w:lang w:val="fr-FR"/>
        </w:rPr>
        <w:tab/>
        <w:t>35</w:t>
      </w:r>
    </w:p>
    <w:p w14:paraId="4044AC6B" w14:textId="77777777" w:rsidR="0058618D" w:rsidRDefault="0058618D">
      <w:pPr>
        <w:pStyle w:val="Index1"/>
        <w:tabs>
          <w:tab w:val="right" w:leader="dot" w:pos="4449"/>
        </w:tabs>
        <w:rPr>
          <w:noProof/>
          <w:lang w:val="fr-FR"/>
        </w:rPr>
      </w:pPr>
      <w:r w:rsidRPr="00D30519">
        <w:rPr>
          <w:noProof/>
          <w:lang w:val="fr-FR"/>
        </w:rPr>
        <w:t>TDN</w:t>
      </w:r>
    </w:p>
    <w:p w14:paraId="25975F76" w14:textId="77777777" w:rsidR="0058618D" w:rsidRDefault="0058618D">
      <w:pPr>
        <w:pStyle w:val="Index2"/>
        <w:tabs>
          <w:tab w:val="right" w:leader="dot" w:pos="4449"/>
        </w:tabs>
        <w:rPr>
          <w:noProof/>
          <w:lang w:val="fr-FR"/>
        </w:rPr>
      </w:pPr>
      <w:r>
        <w:rPr>
          <w:noProof/>
          <w:lang w:val="fr-FR"/>
        </w:rPr>
        <w:t>Télédiffusion du Niger</w:t>
      </w:r>
      <w:r>
        <w:rPr>
          <w:noProof/>
          <w:lang w:val="fr-FR"/>
        </w:rPr>
        <w:tab/>
        <w:t>10</w:t>
      </w:r>
    </w:p>
    <w:p w14:paraId="3B35FC7F" w14:textId="77777777" w:rsidR="0058618D" w:rsidRDefault="0058618D">
      <w:pPr>
        <w:pStyle w:val="Index1"/>
        <w:tabs>
          <w:tab w:val="right" w:leader="dot" w:pos="4449"/>
        </w:tabs>
        <w:rPr>
          <w:noProof/>
          <w:lang w:val="fr-FR"/>
        </w:rPr>
      </w:pPr>
      <w:r w:rsidRPr="00D30519">
        <w:rPr>
          <w:noProof/>
          <w:lang w:val="fr-FR"/>
        </w:rPr>
        <w:t>TNT</w:t>
      </w:r>
    </w:p>
    <w:p w14:paraId="21246AAE" w14:textId="77777777" w:rsidR="0058618D" w:rsidRDefault="0058618D">
      <w:pPr>
        <w:pStyle w:val="Index2"/>
        <w:tabs>
          <w:tab w:val="right" w:leader="dot" w:pos="4449"/>
        </w:tabs>
        <w:rPr>
          <w:noProof/>
          <w:lang w:val="fr-FR"/>
        </w:rPr>
      </w:pPr>
      <w:r>
        <w:rPr>
          <w:noProof/>
          <w:lang w:val="fr-FR"/>
        </w:rPr>
        <w:t>Télévision numérique terrestre</w:t>
      </w:r>
      <w:r>
        <w:rPr>
          <w:noProof/>
          <w:lang w:val="fr-FR"/>
        </w:rPr>
        <w:tab/>
        <w:t>12</w:t>
      </w:r>
    </w:p>
    <w:p w14:paraId="0D1D6730" w14:textId="77777777" w:rsidR="0058618D" w:rsidRDefault="0058618D">
      <w:pPr>
        <w:pStyle w:val="Titreindex"/>
        <w:keepNext/>
        <w:tabs>
          <w:tab w:val="right" w:leader="dot" w:pos="4449"/>
        </w:tabs>
        <w:rPr>
          <w:rFonts w:eastAsiaTheme="minorEastAsia" w:cstheme="minorBidi"/>
          <w:b w:val="0"/>
          <w:bCs w:val="0"/>
          <w:noProof/>
          <w:lang w:val="fr-FR"/>
        </w:rPr>
      </w:pPr>
      <w:r>
        <w:rPr>
          <w:noProof/>
          <w:lang w:val="fr-FR"/>
        </w:rPr>
        <w:t>U</w:t>
      </w:r>
    </w:p>
    <w:p w14:paraId="3C0C44F9" w14:textId="77777777" w:rsidR="0058618D" w:rsidRDefault="0058618D">
      <w:pPr>
        <w:pStyle w:val="Index1"/>
        <w:tabs>
          <w:tab w:val="right" w:leader="dot" w:pos="4449"/>
        </w:tabs>
        <w:rPr>
          <w:noProof/>
          <w:lang w:val="fr-FR"/>
        </w:rPr>
      </w:pPr>
      <w:r w:rsidRPr="00D30519">
        <w:rPr>
          <w:rFonts w:ascii="Century Gothic" w:hAnsi="Century Gothic"/>
          <w:noProof/>
          <w:lang w:val="fr-FR"/>
        </w:rPr>
        <w:t>UIT</w:t>
      </w:r>
    </w:p>
    <w:p w14:paraId="3DBEE890" w14:textId="77777777" w:rsidR="0058618D" w:rsidRDefault="0058618D">
      <w:pPr>
        <w:pStyle w:val="Index2"/>
        <w:tabs>
          <w:tab w:val="right" w:leader="dot" w:pos="4449"/>
        </w:tabs>
        <w:rPr>
          <w:noProof/>
          <w:lang w:val="fr-FR"/>
        </w:rPr>
      </w:pPr>
      <w:r w:rsidRPr="00D30519">
        <w:rPr>
          <w:rFonts w:ascii="Century Gothic" w:hAnsi="Century Gothic"/>
          <w:noProof/>
          <w:lang w:val="fr-FR"/>
        </w:rPr>
        <w:t>Union Internationale des Télécommunications</w:t>
      </w:r>
      <w:r>
        <w:rPr>
          <w:noProof/>
          <w:lang w:val="fr-FR"/>
        </w:rPr>
        <w:tab/>
        <w:t>8</w:t>
      </w:r>
    </w:p>
    <w:p w14:paraId="5FECA990" w14:textId="77777777" w:rsidR="0058618D" w:rsidRDefault="0058618D">
      <w:pPr>
        <w:pStyle w:val="Index1"/>
        <w:tabs>
          <w:tab w:val="right" w:leader="dot" w:pos="4449"/>
        </w:tabs>
        <w:rPr>
          <w:noProof/>
          <w:lang w:val="fr-FR"/>
        </w:rPr>
      </w:pPr>
      <w:r w:rsidRPr="00D30519">
        <w:rPr>
          <w:rFonts w:ascii="Century Gothic" w:hAnsi="Century Gothic"/>
          <w:noProof/>
          <w:lang w:val="fr-FR"/>
        </w:rPr>
        <w:t>UIT-R</w:t>
      </w:r>
    </w:p>
    <w:p w14:paraId="1531DD92" w14:textId="77777777" w:rsidR="0058618D" w:rsidRDefault="0058618D">
      <w:pPr>
        <w:pStyle w:val="Index2"/>
        <w:tabs>
          <w:tab w:val="right" w:leader="dot" w:pos="4449"/>
        </w:tabs>
        <w:rPr>
          <w:noProof/>
          <w:lang w:val="fr-FR"/>
        </w:rPr>
      </w:pPr>
      <w:r w:rsidRPr="00D30519">
        <w:rPr>
          <w:rFonts w:ascii="Century Gothic" w:hAnsi="Century Gothic"/>
          <w:noProof/>
          <w:lang w:val="fr-FR"/>
        </w:rPr>
        <w:t>Secteur des radiocommunications de l'UIT</w:t>
      </w:r>
      <w:r>
        <w:rPr>
          <w:noProof/>
          <w:lang w:val="fr-FR"/>
        </w:rPr>
        <w:tab/>
        <w:t>8</w:t>
      </w:r>
    </w:p>
    <w:p w14:paraId="1BF47104" w14:textId="77777777" w:rsidR="0058618D" w:rsidRDefault="0058618D" w:rsidP="0083054A">
      <w:pPr>
        <w:rPr>
          <w:noProof/>
          <w:sz w:val="18"/>
          <w:szCs w:val="18"/>
          <w:lang w:val="fr-FR"/>
        </w:rPr>
        <w:sectPr w:rsidR="0058618D" w:rsidSect="0058618D">
          <w:type w:val="continuous"/>
          <w:pgSz w:w="11906" w:h="16838"/>
          <w:pgMar w:top="1134" w:right="1134" w:bottom="1134" w:left="1134" w:header="708" w:footer="708" w:gutter="0"/>
          <w:cols w:num="2" w:space="720"/>
          <w:titlePg/>
          <w:docGrid w:linePitch="360"/>
        </w:sectPr>
      </w:pPr>
    </w:p>
    <w:p w14:paraId="2B50F905" w14:textId="4DCF120E" w:rsidR="0083054A" w:rsidRPr="00614EF9" w:rsidRDefault="008D0439" w:rsidP="0083054A">
      <w:pPr>
        <w:rPr>
          <w:sz w:val="18"/>
          <w:szCs w:val="18"/>
          <w:lang w:val="fr-FR"/>
        </w:rPr>
      </w:pPr>
      <w:r w:rsidRPr="00614EF9">
        <w:rPr>
          <w:sz w:val="18"/>
          <w:szCs w:val="18"/>
          <w:lang w:val="fr-FR"/>
        </w:rPr>
        <w:fldChar w:fldCharType="end"/>
      </w:r>
    </w:p>
    <w:p w14:paraId="5C6DFD6C" w14:textId="77777777" w:rsidR="0083054A" w:rsidRPr="00614EF9" w:rsidRDefault="0083054A" w:rsidP="0083054A">
      <w:pPr>
        <w:rPr>
          <w:lang w:val="fr-FR"/>
        </w:rPr>
      </w:pPr>
    </w:p>
    <w:p w14:paraId="029FF274" w14:textId="77777777" w:rsidR="0083054A" w:rsidRPr="00614EF9" w:rsidRDefault="0083054A" w:rsidP="0083054A">
      <w:pPr>
        <w:rPr>
          <w:lang w:val="fr-FR"/>
        </w:rPr>
      </w:pPr>
      <w:r w:rsidRPr="00614EF9">
        <w:rPr>
          <w:lang w:val="fr-FR"/>
        </w:rPr>
        <w:br w:type="page"/>
      </w:r>
    </w:p>
    <w:p w14:paraId="4D24F3ED" w14:textId="77777777" w:rsidR="007C757E" w:rsidRPr="00614EF9" w:rsidRDefault="009514E2" w:rsidP="00222AF2">
      <w:pPr>
        <w:pStyle w:val="Titre1"/>
        <w:rPr>
          <w:lang w:val="fr-FR"/>
        </w:rPr>
      </w:pPr>
      <w:bookmarkStart w:id="14" w:name="_Toc240614343"/>
      <w:r w:rsidRPr="00614EF9">
        <w:rPr>
          <w:lang w:val="fr-FR"/>
        </w:rPr>
        <w:lastRenderedPageBreak/>
        <w:t>Contexte, justification et cadre juridique</w:t>
      </w:r>
      <w:bookmarkEnd w:id="11"/>
      <w:bookmarkEnd w:id="12"/>
      <w:bookmarkEnd w:id="14"/>
    </w:p>
    <w:p w14:paraId="1DAEB640" w14:textId="77777777" w:rsidR="007C757E" w:rsidRPr="00614EF9" w:rsidRDefault="009514E2" w:rsidP="007D4BE4">
      <w:pPr>
        <w:pStyle w:val="Titre2"/>
        <w:rPr>
          <w:lang w:val="fr-FR"/>
        </w:rPr>
      </w:pPr>
      <w:bookmarkStart w:id="15" w:name="_Toc232062277"/>
      <w:bookmarkStart w:id="16" w:name="_Toc236636355"/>
      <w:bookmarkStart w:id="17" w:name="_Toc240614344"/>
      <w:r w:rsidRPr="00614EF9">
        <w:rPr>
          <w:lang w:val="fr-FR"/>
        </w:rPr>
        <w:t>Contexte et justification</w:t>
      </w:r>
      <w:bookmarkEnd w:id="15"/>
      <w:bookmarkEnd w:id="16"/>
      <w:bookmarkEnd w:id="17"/>
    </w:p>
    <w:p w14:paraId="529275FD" w14:textId="4351348B" w:rsidR="005011D2" w:rsidRPr="00614EF9" w:rsidRDefault="005011D2" w:rsidP="005011D2">
      <w:pPr>
        <w:rPr>
          <w:lang w:val="fr-FR"/>
        </w:rPr>
      </w:pPr>
      <w:r w:rsidRPr="00614EF9">
        <w:rPr>
          <w:lang w:val="fr-FR"/>
        </w:rPr>
        <w:t xml:space="preserve">Le décret n°2020-569/PRN/MPT/EN du 17 juillet 2020 déterminant les conditions d’organisation du spectre radioélectrique impose </w:t>
      </w:r>
      <w:r w:rsidR="007A7843" w:rsidRPr="00614EF9">
        <w:rPr>
          <w:lang w:val="fr-FR"/>
        </w:rPr>
        <w:t>« </w:t>
      </w:r>
      <w:r w:rsidRPr="00614EF9">
        <w:rPr>
          <w:i/>
          <w:iCs/>
          <w:lang w:val="fr-FR"/>
        </w:rPr>
        <w:t>l’établissement et la mise à jour périodique d’un plan national d’attribution des bandes de fréquences (PNAF</w:t>
      </w:r>
      <w:r w:rsidR="00A933AD" w:rsidRPr="00614EF9">
        <w:rPr>
          <w:i/>
          <w:iCs/>
          <w:lang w:val="fr-FR"/>
        </w:rPr>
        <w:fldChar w:fldCharType="begin"/>
      </w:r>
      <w:r w:rsidR="00A933AD" w:rsidRPr="00614EF9">
        <w:instrText xml:space="preserve"> XE "</w:instrText>
      </w:r>
      <w:proofErr w:type="gramStart"/>
      <w:r w:rsidR="00A933AD" w:rsidRPr="00614EF9">
        <w:rPr>
          <w:i/>
          <w:iCs/>
          <w:lang w:val="fr-FR"/>
        </w:rPr>
        <w:instrText>PNAF:</w:instrText>
      </w:r>
      <w:r w:rsidR="00A933AD" w:rsidRPr="00614EF9">
        <w:instrText>Plan</w:instrText>
      </w:r>
      <w:proofErr w:type="gramEnd"/>
      <w:r w:rsidR="00A933AD" w:rsidRPr="00614EF9">
        <w:instrText xml:space="preserve"> National d'Attribution des Fréquences" </w:instrText>
      </w:r>
      <w:r w:rsidR="00A933AD" w:rsidRPr="00614EF9">
        <w:rPr>
          <w:i/>
          <w:iCs/>
          <w:lang w:val="fr-FR"/>
        </w:rPr>
        <w:fldChar w:fldCharType="end"/>
      </w:r>
      <w:r w:rsidRPr="00614EF9">
        <w:rPr>
          <w:i/>
          <w:iCs/>
          <w:lang w:val="fr-FR"/>
        </w:rPr>
        <w:t>), conformément au règlement des radiocommunications et aux accords internationaux</w:t>
      </w:r>
      <w:r w:rsidR="007A7843" w:rsidRPr="00614EF9">
        <w:rPr>
          <w:i/>
          <w:iCs/>
          <w:lang w:val="fr-FR"/>
        </w:rPr>
        <w:t> </w:t>
      </w:r>
      <w:r w:rsidR="007A7843" w:rsidRPr="00614EF9">
        <w:rPr>
          <w:lang w:val="fr-FR"/>
        </w:rPr>
        <w:t>»</w:t>
      </w:r>
      <w:r w:rsidRPr="00614EF9">
        <w:rPr>
          <w:lang w:val="fr-FR"/>
        </w:rPr>
        <w:t>.</w:t>
      </w:r>
    </w:p>
    <w:p w14:paraId="57C5425A" w14:textId="66CEE86A" w:rsidR="005011D2" w:rsidRPr="00614EF9" w:rsidRDefault="005011D2" w:rsidP="005011D2">
      <w:pPr>
        <w:rPr>
          <w:lang w:val="fr-FR"/>
        </w:rPr>
      </w:pPr>
      <w:r w:rsidRPr="00614EF9">
        <w:rPr>
          <w:lang w:val="fr-FR"/>
        </w:rPr>
        <w:t xml:space="preserve">Sur ce fondement, </w:t>
      </w:r>
      <w:r w:rsidR="00107B9F" w:rsidRPr="00614EF9">
        <w:rPr>
          <w:lang w:val="fr-FR"/>
        </w:rPr>
        <w:t>l’Autorité de Régulation des Communications Électroniques et de la Poste (ARCEP</w:t>
      </w:r>
      <w:r w:rsidR="00107B9F" w:rsidRPr="00614EF9">
        <w:rPr>
          <w:lang w:val="fr-FR"/>
        </w:rPr>
        <w:fldChar w:fldCharType="begin"/>
      </w:r>
      <w:r w:rsidR="00107B9F" w:rsidRPr="00614EF9">
        <w:instrText xml:space="preserve"> XE "</w:instrText>
      </w:r>
      <w:proofErr w:type="gramStart"/>
      <w:r w:rsidR="00107B9F" w:rsidRPr="00614EF9">
        <w:rPr>
          <w:lang w:val="fr-FR"/>
        </w:rPr>
        <w:instrText>ARCEP:</w:instrText>
      </w:r>
      <w:r w:rsidR="00107B9F" w:rsidRPr="00614EF9">
        <w:instrText>Autorité</w:instrText>
      </w:r>
      <w:proofErr w:type="gramEnd"/>
      <w:r w:rsidR="00107B9F" w:rsidRPr="00614EF9">
        <w:instrText xml:space="preserve"> de Régulation des Communications Électroniques et de la Poste" </w:instrText>
      </w:r>
      <w:r w:rsidR="00107B9F" w:rsidRPr="00614EF9">
        <w:rPr>
          <w:lang w:val="fr-FR"/>
        </w:rPr>
        <w:fldChar w:fldCharType="end"/>
      </w:r>
      <w:r w:rsidR="00107B9F" w:rsidRPr="00614EF9">
        <w:rPr>
          <w:lang w:val="fr-FR"/>
        </w:rPr>
        <w:t>)</w:t>
      </w:r>
      <w:r w:rsidRPr="00614EF9">
        <w:rPr>
          <w:lang w:val="fr-FR"/>
        </w:rPr>
        <w:t xml:space="preserve"> a adopté, par décision n°004/ARCEP/CNRCEP/26 du 11 mai 2026, le Plan national d’attribution des fréquences (PNAF), édition 2025. </w:t>
      </w:r>
      <w:r w:rsidR="004466C9">
        <w:rPr>
          <w:lang w:val="fr-FR"/>
        </w:rPr>
        <w:t>Le PNAF, édition 2025</w:t>
      </w:r>
      <w:r w:rsidRPr="00614EF9">
        <w:rPr>
          <w:lang w:val="fr-FR"/>
        </w:rPr>
        <w:t xml:space="preserve"> répartit les bandes entre les services de radiocommunication. Il tient compte des besoins des utilisateurs, des règles internationales et des accords de coordination régionale.</w:t>
      </w:r>
    </w:p>
    <w:p w14:paraId="458F4F8F" w14:textId="77777777" w:rsidR="004D775C" w:rsidRPr="00614EF9" w:rsidRDefault="005011D2" w:rsidP="005011D2">
      <w:pPr>
        <w:rPr>
          <w:lang w:val="fr-FR"/>
        </w:rPr>
      </w:pPr>
      <w:r w:rsidRPr="00614EF9">
        <w:rPr>
          <w:lang w:val="fr-FR"/>
        </w:rPr>
        <w:t>L’article 2 de cette décision, pris en application de l’article 6 du décret n°2020-569/PRN/MPT/EN, prescrit l’établissement d’un plan de transition. Ce plan libère et réattribue les bandes de fréquences selon l’évolution des priorités d’utilisation.</w:t>
      </w:r>
    </w:p>
    <w:p w14:paraId="25EC0B20" w14:textId="77777777" w:rsidR="007C757E" w:rsidRPr="00614EF9" w:rsidRDefault="005011D2" w:rsidP="005011D2">
      <w:pPr>
        <w:rPr>
          <w:lang w:val="fr-FR"/>
        </w:rPr>
      </w:pPr>
      <w:r w:rsidRPr="00614EF9">
        <w:rPr>
          <w:lang w:val="fr-FR"/>
        </w:rPr>
        <w:t>Le plan de transition répond aux nécessités suivantes :</w:t>
      </w:r>
    </w:p>
    <w:p w14:paraId="6B738CDC" w14:textId="0EC5CCB5" w:rsidR="007C757E" w:rsidRPr="00614EF9" w:rsidRDefault="007A784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Optimisation du spectre radioélectrique pour répondre aux besoins croissants des réseaux de communications électroniques ;</w:t>
      </w:r>
    </w:p>
    <w:p w14:paraId="4AEFC3A4" w14:textId="4F3BF2D1" w:rsidR="007C757E" w:rsidRPr="00614EF9" w:rsidRDefault="007A784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Réallocation des bandes de fréquences pour accompagner la transition technologique et l’augmentation du trafic des réseaux numériques ;</w:t>
      </w:r>
    </w:p>
    <w:p w14:paraId="6B313DD2" w14:textId="3502508A" w:rsidR="007C757E" w:rsidRPr="00614EF9" w:rsidRDefault="007A784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Proposition d’alternatives viables pour les assignataires impactés par ces réallocations.</w:t>
      </w:r>
    </w:p>
    <w:p w14:paraId="5B1D99EC" w14:textId="77777777" w:rsidR="00133098" w:rsidRPr="00614EF9" w:rsidRDefault="00133098" w:rsidP="007D4BE4">
      <w:pPr>
        <w:pStyle w:val="Titre2"/>
        <w:rPr>
          <w:lang w:val="fr-FR"/>
        </w:rPr>
      </w:pPr>
      <w:bookmarkStart w:id="18" w:name="_Toc232062281"/>
      <w:bookmarkStart w:id="19" w:name="_Toc236636358"/>
      <w:bookmarkStart w:id="20" w:name="_Toc240614345"/>
      <w:r w:rsidRPr="00614EF9">
        <w:rPr>
          <w:lang w:val="fr-FR"/>
        </w:rPr>
        <w:t>Objectifs et principes directeurs</w:t>
      </w:r>
      <w:bookmarkEnd w:id="18"/>
      <w:bookmarkEnd w:id="19"/>
      <w:bookmarkEnd w:id="20"/>
    </w:p>
    <w:p w14:paraId="19A6DD83" w14:textId="77777777" w:rsidR="00133098" w:rsidRPr="00614EF9" w:rsidRDefault="00133098" w:rsidP="0066730D">
      <w:pPr>
        <w:pStyle w:val="Titre3"/>
        <w:rPr>
          <w:lang w:val="fr-FR"/>
        </w:rPr>
      </w:pPr>
      <w:bookmarkStart w:id="21" w:name="_Toc232062282"/>
      <w:bookmarkStart w:id="22" w:name="_Toc236636359"/>
      <w:bookmarkStart w:id="23" w:name="_Toc240614346"/>
      <w:r w:rsidRPr="00614EF9">
        <w:rPr>
          <w:lang w:val="fr-FR"/>
        </w:rPr>
        <w:t>Objectifs</w:t>
      </w:r>
      <w:bookmarkEnd w:id="21"/>
      <w:bookmarkEnd w:id="22"/>
      <w:bookmarkEnd w:id="23"/>
    </w:p>
    <w:p w14:paraId="318C97D9"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Identifier les bandes de fréquences devant changer d’attribution en application du PNAF ;</w:t>
      </w:r>
    </w:p>
    <w:p w14:paraId="79AA2E94"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Libérer progressivement ces bandes tout en minimisant l’impact pour les utilisateurs actuels ;</w:t>
      </w:r>
    </w:p>
    <w:p w14:paraId="10C9E04D"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Reloger les assignations existantes vers des bandes conformes au PNAF ;</w:t>
      </w:r>
    </w:p>
    <w:p w14:paraId="2BAE991B" w14:textId="633F9D1C"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Mettre à disposition les bandes libérées au profit des services prioritaires, notamment les réseaux cellulaires (4G</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r w:rsidR="00A933AD" w:rsidRPr="00614EF9">
        <w:rPr>
          <w:rFonts w:ascii="Century Gothic" w:hAnsi="Century Gothic"/>
          <w:sz w:val="24"/>
          <w:szCs w:val="24"/>
          <w:lang w:val="fr-FR"/>
        </w:rPr>
        <w:instrText>4</w:instrText>
      </w:r>
      <w:proofErr w:type="gramStart"/>
      <w:r w:rsidR="00A933AD" w:rsidRPr="00614EF9">
        <w:rPr>
          <w:rFonts w:ascii="Century Gothic" w:hAnsi="Century Gothic"/>
          <w:sz w:val="24"/>
          <w:szCs w:val="24"/>
          <w:lang w:val="fr-FR"/>
        </w:rPr>
        <w:instrText>G</w:instrText>
      </w:r>
      <w:r w:rsidR="00A933AD" w:rsidRPr="00614EF9">
        <w:rPr>
          <w:rFonts w:ascii="Century Gothic" w:hAnsi="Century Gothic"/>
          <w:lang w:val="fr-FR"/>
        </w:rPr>
        <w:instrText>:</w:instrText>
      </w:r>
      <w:proofErr w:type="gramEnd"/>
      <w:r w:rsidR="00A933AD" w:rsidRPr="00614EF9">
        <w:rPr>
          <w:rFonts w:ascii="Century Gothic" w:hAnsi="Century Gothic"/>
        </w:rPr>
        <w:instrText xml:space="preserve">4ème Génération de réseaux mobiles" </w:instrText>
      </w:r>
      <w:r w:rsidR="00A933AD" w:rsidRPr="00614EF9">
        <w:rPr>
          <w:rFonts w:ascii="Century Gothic" w:hAnsi="Century Gothic"/>
          <w:sz w:val="24"/>
          <w:szCs w:val="24"/>
          <w:lang w:val="fr-FR"/>
        </w:rPr>
        <w:fldChar w:fldCharType="end"/>
      </w:r>
      <w:r w:rsidRPr="00614EF9">
        <w:rPr>
          <w:rFonts w:ascii="Century Gothic" w:hAnsi="Century Gothic"/>
          <w:sz w:val="24"/>
          <w:szCs w:val="24"/>
          <w:lang w:val="fr-FR"/>
        </w:rPr>
        <w:t>, 5G</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r w:rsidR="00A933AD" w:rsidRPr="00614EF9">
        <w:rPr>
          <w:rFonts w:ascii="Century Gothic" w:hAnsi="Century Gothic"/>
          <w:sz w:val="24"/>
          <w:szCs w:val="24"/>
          <w:lang w:val="fr-FR"/>
        </w:rPr>
        <w:instrText>5</w:instrText>
      </w:r>
      <w:proofErr w:type="gramStart"/>
      <w:r w:rsidR="00A933AD" w:rsidRPr="00614EF9">
        <w:rPr>
          <w:rFonts w:ascii="Century Gothic" w:hAnsi="Century Gothic"/>
          <w:sz w:val="24"/>
          <w:szCs w:val="24"/>
          <w:lang w:val="fr-FR"/>
        </w:rPr>
        <w:instrText>G</w:instrText>
      </w:r>
      <w:r w:rsidR="00A933AD" w:rsidRPr="00614EF9">
        <w:rPr>
          <w:rFonts w:ascii="Century Gothic" w:hAnsi="Century Gothic"/>
          <w:lang w:val="fr-FR"/>
        </w:rPr>
        <w:instrText>:</w:instrText>
      </w:r>
      <w:proofErr w:type="gramEnd"/>
      <w:r w:rsidR="00A933AD" w:rsidRPr="00614EF9">
        <w:rPr>
          <w:rFonts w:ascii="Century Gothic" w:hAnsi="Century Gothic"/>
        </w:rPr>
        <w:instrText xml:space="preserve">5ème Génération de Réseaux mobiles" </w:instrText>
      </w:r>
      <w:r w:rsidR="00A933AD" w:rsidRPr="00614EF9">
        <w:rPr>
          <w:rFonts w:ascii="Century Gothic" w:hAnsi="Century Gothic"/>
          <w:sz w:val="24"/>
          <w:szCs w:val="24"/>
          <w:lang w:val="fr-FR"/>
        </w:rPr>
        <w:fldChar w:fldCharType="end"/>
      </w:r>
      <w:r w:rsidRPr="00614EF9">
        <w:rPr>
          <w:rFonts w:ascii="Century Gothic" w:hAnsi="Century Gothic"/>
          <w:sz w:val="24"/>
          <w:szCs w:val="24"/>
          <w:lang w:val="fr-FR"/>
        </w:rPr>
        <w:t>) et les réseaux locaux sans fil ;</w:t>
      </w:r>
    </w:p>
    <w:p w14:paraId="64345DF3"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Mettre en place un cadre juridique cohérent et adapté aux nouveaux enjeux.</w:t>
      </w:r>
    </w:p>
    <w:p w14:paraId="48051582" w14:textId="77777777" w:rsidR="00133098" w:rsidRPr="00614EF9" w:rsidRDefault="00133098" w:rsidP="0066730D">
      <w:pPr>
        <w:pStyle w:val="Titre3"/>
        <w:rPr>
          <w:lang w:val="fr-FR"/>
        </w:rPr>
      </w:pPr>
      <w:bookmarkStart w:id="24" w:name="_Toc232062283"/>
      <w:bookmarkStart w:id="25" w:name="_Toc236636360"/>
      <w:bookmarkStart w:id="26" w:name="_Toc240614347"/>
      <w:r w:rsidRPr="00614EF9">
        <w:rPr>
          <w:lang w:val="fr-FR"/>
        </w:rPr>
        <w:t>Principes directeurs</w:t>
      </w:r>
      <w:bookmarkEnd w:id="24"/>
      <w:bookmarkEnd w:id="25"/>
      <w:bookmarkEnd w:id="26"/>
    </w:p>
    <w:p w14:paraId="0616FB17"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Neutralité vis-à-vis des services : le plan couvre tout changement d’attribution du PNAF ;</w:t>
      </w:r>
    </w:p>
    <w:p w14:paraId="3AAB532F"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lastRenderedPageBreak/>
        <w:t>Minimisation de l’impact et continuité de service des assignataires migrés ;</w:t>
      </w:r>
    </w:p>
    <w:p w14:paraId="59A303E5"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Transparence et concertation avec l’ensemble des parties prenantes ;</w:t>
      </w:r>
    </w:p>
    <w:p w14:paraId="5DD94F84"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Prise en charge équitable des coûts de migration ;</w:t>
      </w:r>
    </w:p>
    <w:p w14:paraId="74CC674C" w14:textId="77777777" w:rsidR="00133098" w:rsidRPr="00614EF9" w:rsidRDefault="0013309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Sécurité juridique des assignataires affectés.</w:t>
      </w:r>
    </w:p>
    <w:p w14:paraId="60A3C179" w14:textId="77777777" w:rsidR="00F70DF8" w:rsidRPr="00614EF9" w:rsidRDefault="00F70DF8" w:rsidP="007D4BE4">
      <w:pPr>
        <w:pStyle w:val="Titre2"/>
        <w:rPr>
          <w:lang w:val="fr-FR"/>
        </w:rPr>
      </w:pPr>
      <w:bookmarkStart w:id="27" w:name="_Toc232062278"/>
      <w:bookmarkStart w:id="28" w:name="_Toc236636356"/>
      <w:bookmarkStart w:id="29" w:name="_Toc240614348"/>
      <w:bookmarkStart w:id="30" w:name="_Toc232062279"/>
      <w:bookmarkStart w:id="31" w:name="_Toc236636357"/>
      <w:r w:rsidRPr="00614EF9">
        <w:rPr>
          <w:lang w:val="fr-FR"/>
        </w:rPr>
        <w:t>Cadre juridique et textes de référence</w:t>
      </w:r>
      <w:bookmarkEnd w:id="27"/>
      <w:bookmarkEnd w:id="28"/>
      <w:bookmarkEnd w:id="29"/>
    </w:p>
    <w:p w14:paraId="05422A55" w14:textId="77777777" w:rsidR="00F70DF8" w:rsidRPr="00614EF9" w:rsidRDefault="00F70DF8" w:rsidP="00F70DF8">
      <w:pPr>
        <w:rPr>
          <w:lang w:val="fr-FR"/>
        </w:rPr>
      </w:pPr>
      <w:r w:rsidRPr="00614EF9">
        <w:rPr>
          <w:lang w:val="fr-FR"/>
        </w:rPr>
        <w:t>Le présent plan de transition s'inscrit dans le cadre juridique suivant.</w:t>
      </w:r>
    </w:p>
    <w:p w14:paraId="565EBD85" w14:textId="77777777" w:rsidR="00F70DF8" w:rsidRPr="00614EF9" w:rsidRDefault="00F70DF8" w:rsidP="007A7843">
      <w:pPr>
        <w:pStyle w:val="Paragraphedeliste"/>
        <w:numPr>
          <w:ilvl w:val="0"/>
          <w:numId w:val="3"/>
        </w:numPr>
        <w:spacing w:before="120" w:after="120"/>
        <w:jc w:val="both"/>
        <w:rPr>
          <w:rFonts w:ascii="Century Gothic" w:hAnsi="Century Gothic"/>
          <w:sz w:val="24"/>
          <w:szCs w:val="24"/>
          <w:lang w:val="fr-FR"/>
        </w:rPr>
      </w:pPr>
      <w:r w:rsidRPr="00614EF9">
        <w:rPr>
          <w:rFonts w:ascii="Century Gothic" w:hAnsi="Century Gothic"/>
          <w:b/>
          <w:sz w:val="24"/>
          <w:szCs w:val="24"/>
          <w:lang w:val="fr-FR"/>
        </w:rPr>
        <w:t>Textes nationaux</w:t>
      </w:r>
    </w:p>
    <w:p w14:paraId="0B996B77" w14:textId="77777777" w:rsidR="00F76FA3" w:rsidRPr="00614EF9" w:rsidRDefault="00F76FA3"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La loi n°2018-45 du 12 juillet 2018 portant réglementation des communications électroniques au Niger, modifiée par l’ordonnance n°2022-04 du 13 janvier 2022 ;</w:t>
      </w:r>
    </w:p>
    <w:p w14:paraId="17BC6709" w14:textId="77777777" w:rsidR="00F70DF8" w:rsidRPr="00614EF9" w:rsidRDefault="00F70DF8"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Le décret n°2020-569/PRN/MPT/EN du 17 juillet 2020 déterminant les conditions d’organisation du spectre radioélectrique. Son article 6 prescrit l’élaboration d’un plan de transition ;</w:t>
      </w:r>
    </w:p>
    <w:p w14:paraId="31C97D97" w14:textId="77777777" w:rsidR="00F76FA3" w:rsidRPr="00614EF9" w:rsidRDefault="00F76FA3"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Le décret n°2022-250/PRN/MPT/NTI du 24 mars 2022 précisant les modalités d’octroi de licences individuelles sans appel public à concurrence ;</w:t>
      </w:r>
    </w:p>
    <w:p w14:paraId="19E3E1F9" w14:textId="77777777" w:rsidR="00F76FA3" w:rsidRPr="00614EF9" w:rsidRDefault="00F76FA3"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Le décret n°2022-781/PRN/MPT/NTI du 13 octobre 2022 précisant les modalités du principe de neutralité technologique dans l’exploitation des licences individuelles et des autorisations générales au Niger ;</w:t>
      </w:r>
    </w:p>
    <w:p w14:paraId="5660D84F" w14:textId="77777777" w:rsidR="003E45BE" w:rsidRPr="00614EF9" w:rsidRDefault="00762DA6"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L’arrêté n°11/MCP/EN/SG/DL du 18 février 2025 déterminant les modalités d’application du décret n°2022-781/PRN/MPT/NTI du 13 octobre 2022 ;</w:t>
      </w:r>
    </w:p>
    <w:p w14:paraId="5C573A25" w14:textId="77777777" w:rsidR="00F70DF8" w:rsidRPr="00614EF9" w:rsidRDefault="00F70DF8"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La décision n°004/ARCEP/CNRCEP/26 du 11 mai 2026 portant adoption du Plan national d’attribution des fréquences, édition 2025. Son article 2 prescrit l’établissement du présent plan.</w:t>
      </w:r>
    </w:p>
    <w:p w14:paraId="195E896A" w14:textId="77777777" w:rsidR="00F70DF8" w:rsidRPr="00614EF9" w:rsidRDefault="00F70DF8" w:rsidP="007A7843">
      <w:pPr>
        <w:pStyle w:val="Paragraphedeliste"/>
        <w:numPr>
          <w:ilvl w:val="0"/>
          <w:numId w:val="3"/>
        </w:numPr>
        <w:spacing w:before="120" w:after="120"/>
        <w:jc w:val="both"/>
        <w:rPr>
          <w:rFonts w:ascii="Century Gothic" w:hAnsi="Century Gothic"/>
          <w:sz w:val="24"/>
          <w:szCs w:val="24"/>
          <w:lang w:val="fr-FR"/>
        </w:rPr>
      </w:pPr>
      <w:r w:rsidRPr="00614EF9">
        <w:rPr>
          <w:rFonts w:ascii="Century Gothic" w:hAnsi="Century Gothic"/>
          <w:b/>
          <w:sz w:val="24"/>
          <w:szCs w:val="24"/>
          <w:lang w:val="fr-FR"/>
        </w:rPr>
        <w:t>Textes internationaux</w:t>
      </w:r>
    </w:p>
    <w:p w14:paraId="5ACA7788" w14:textId="673F638E" w:rsidR="00F70DF8" w:rsidRPr="00614EF9" w:rsidRDefault="00F70DF8" w:rsidP="007A7843">
      <w:pPr>
        <w:pStyle w:val="Paragraphedeliste"/>
        <w:numPr>
          <w:ilvl w:val="1"/>
          <w:numId w:val="3"/>
        </w:numPr>
        <w:spacing w:before="120" w:after="120"/>
        <w:ind w:left="1434" w:hanging="357"/>
        <w:jc w:val="both"/>
        <w:rPr>
          <w:rFonts w:ascii="Century Gothic" w:hAnsi="Century Gothic"/>
          <w:sz w:val="24"/>
          <w:szCs w:val="24"/>
          <w:lang w:val="fr-FR"/>
        </w:rPr>
      </w:pPr>
      <w:r w:rsidRPr="00614EF9">
        <w:rPr>
          <w:rFonts w:ascii="Century Gothic" w:hAnsi="Century Gothic"/>
          <w:sz w:val="24"/>
          <w:szCs w:val="24"/>
          <w:lang w:val="fr-FR"/>
        </w:rPr>
        <w:t>Le Règlement des radiocommunications (RR</w:t>
      </w:r>
      <w:r w:rsidR="00107B9F" w:rsidRPr="00614EF9">
        <w:rPr>
          <w:rFonts w:ascii="Century Gothic" w:hAnsi="Century Gothic"/>
          <w:sz w:val="24"/>
          <w:szCs w:val="24"/>
          <w:lang w:val="fr-FR"/>
        </w:rPr>
        <w:fldChar w:fldCharType="begin"/>
      </w:r>
      <w:r w:rsidR="00107B9F" w:rsidRPr="00614EF9">
        <w:rPr>
          <w:rFonts w:ascii="Century Gothic" w:hAnsi="Century Gothic"/>
        </w:rPr>
        <w:instrText xml:space="preserve"> XE "</w:instrText>
      </w:r>
      <w:proofErr w:type="gramStart"/>
      <w:r w:rsidR="00107B9F" w:rsidRPr="00614EF9">
        <w:rPr>
          <w:rFonts w:ascii="Century Gothic" w:hAnsi="Century Gothic"/>
          <w:sz w:val="24"/>
          <w:szCs w:val="24"/>
          <w:lang w:val="fr-FR"/>
        </w:rPr>
        <w:instrText>RR</w:instrText>
      </w:r>
      <w:r w:rsidR="00107B9F" w:rsidRPr="00614EF9">
        <w:rPr>
          <w:rFonts w:ascii="Century Gothic" w:hAnsi="Century Gothic"/>
          <w:lang w:val="fr-FR"/>
        </w:rPr>
        <w:instrText>:</w:instrText>
      </w:r>
      <w:r w:rsidR="00107B9F" w:rsidRPr="00614EF9">
        <w:rPr>
          <w:rFonts w:ascii="Century Gothic" w:hAnsi="Century Gothic"/>
        </w:rPr>
        <w:instrText>Réglement</w:instrText>
      </w:r>
      <w:proofErr w:type="gramEnd"/>
      <w:r w:rsidR="00107B9F" w:rsidRPr="00614EF9">
        <w:rPr>
          <w:rFonts w:ascii="Century Gothic" w:hAnsi="Century Gothic"/>
        </w:rPr>
        <w:instrText xml:space="preserve"> des radiocommunications" </w:instrText>
      </w:r>
      <w:r w:rsidR="00107B9F" w:rsidRPr="00614EF9">
        <w:rPr>
          <w:rFonts w:ascii="Century Gothic" w:hAnsi="Century Gothic"/>
          <w:sz w:val="24"/>
          <w:szCs w:val="24"/>
          <w:lang w:val="fr-FR"/>
        </w:rPr>
        <w:fldChar w:fldCharType="end"/>
      </w:r>
      <w:r w:rsidRPr="00614EF9">
        <w:rPr>
          <w:rFonts w:ascii="Century Gothic" w:hAnsi="Century Gothic"/>
          <w:sz w:val="24"/>
          <w:szCs w:val="24"/>
          <w:lang w:val="fr-FR"/>
        </w:rPr>
        <w:t>) de l'Union internationale des télécommunications (UIT</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proofErr w:type="gramStart"/>
      <w:r w:rsidR="00A933AD" w:rsidRPr="00614EF9">
        <w:rPr>
          <w:rFonts w:ascii="Century Gothic" w:hAnsi="Century Gothic"/>
          <w:sz w:val="24"/>
          <w:szCs w:val="24"/>
          <w:lang w:val="fr-FR"/>
        </w:rPr>
        <w:instrText>UIT</w:instrText>
      </w:r>
      <w:r w:rsidR="00A933AD" w:rsidRPr="00614EF9">
        <w:rPr>
          <w:rFonts w:ascii="Century Gothic" w:hAnsi="Century Gothic"/>
          <w:lang w:val="fr-FR"/>
        </w:rPr>
        <w:instrText>:</w:instrText>
      </w:r>
      <w:r w:rsidR="00A933AD" w:rsidRPr="00614EF9">
        <w:rPr>
          <w:rFonts w:ascii="Century Gothic" w:hAnsi="Century Gothic"/>
        </w:rPr>
        <w:instrText>Union</w:instrText>
      </w:r>
      <w:proofErr w:type="gramEnd"/>
      <w:r w:rsidR="00A933AD" w:rsidRPr="00614EF9">
        <w:rPr>
          <w:rFonts w:ascii="Century Gothic" w:hAnsi="Century Gothic"/>
        </w:rPr>
        <w:instrText xml:space="preserve"> Internationale des Télécommunications" </w:instrText>
      </w:r>
      <w:r w:rsidR="00A933AD" w:rsidRPr="00614EF9">
        <w:rPr>
          <w:rFonts w:ascii="Century Gothic" w:hAnsi="Century Gothic"/>
          <w:sz w:val="24"/>
          <w:szCs w:val="24"/>
          <w:lang w:val="fr-FR"/>
        </w:rPr>
        <w:fldChar w:fldCharType="end"/>
      </w:r>
      <w:r w:rsidRPr="00614EF9">
        <w:rPr>
          <w:rFonts w:ascii="Century Gothic" w:hAnsi="Century Gothic"/>
          <w:sz w:val="24"/>
          <w:szCs w:val="24"/>
          <w:lang w:val="fr-FR"/>
        </w:rPr>
        <w:t>) et les Actes finals des Conférences mondiales des radiocommunications</w:t>
      </w:r>
      <w:r w:rsidR="00A933AD" w:rsidRPr="00614EF9">
        <w:rPr>
          <w:rFonts w:ascii="Century Gothic" w:hAnsi="Century Gothic"/>
          <w:sz w:val="24"/>
          <w:szCs w:val="24"/>
          <w:lang w:val="fr-FR"/>
        </w:rPr>
        <w:t xml:space="preserve"> (CMR</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proofErr w:type="gramStart"/>
      <w:r w:rsidR="00A933AD" w:rsidRPr="00614EF9">
        <w:rPr>
          <w:rFonts w:ascii="Century Gothic" w:hAnsi="Century Gothic"/>
          <w:sz w:val="24"/>
          <w:szCs w:val="24"/>
          <w:lang w:val="fr-FR"/>
        </w:rPr>
        <w:instrText>CMR</w:instrText>
      </w:r>
      <w:r w:rsidR="00A933AD" w:rsidRPr="00614EF9">
        <w:rPr>
          <w:rFonts w:ascii="Century Gothic" w:hAnsi="Century Gothic"/>
          <w:lang w:val="fr-FR"/>
        </w:rPr>
        <w:instrText>:</w:instrText>
      </w:r>
      <w:r w:rsidR="00A933AD" w:rsidRPr="00614EF9">
        <w:rPr>
          <w:rFonts w:ascii="Century Gothic" w:hAnsi="Century Gothic"/>
        </w:rPr>
        <w:instrText>Conférence</w:instrText>
      </w:r>
      <w:proofErr w:type="gramEnd"/>
      <w:r w:rsidR="00A933AD" w:rsidRPr="00614EF9">
        <w:rPr>
          <w:rFonts w:ascii="Century Gothic" w:hAnsi="Century Gothic"/>
        </w:rPr>
        <w:instrText xml:space="preserve"> mondiale des radiocommunications" </w:instrText>
      </w:r>
      <w:r w:rsidR="00A933AD" w:rsidRPr="00614EF9">
        <w:rPr>
          <w:rFonts w:ascii="Century Gothic" w:hAnsi="Century Gothic"/>
          <w:sz w:val="24"/>
          <w:szCs w:val="24"/>
          <w:lang w:val="fr-FR"/>
        </w:rPr>
        <w:fldChar w:fldCharType="end"/>
      </w:r>
      <w:r w:rsidR="00A933AD" w:rsidRPr="00614EF9">
        <w:rPr>
          <w:rFonts w:ascii="Century Gothic" w:hAnsi="Century Gothic"/>
          <w:sz w:val="24"/>
          <w:szCs w:val="24"/>
          <w:lang w:val="fr-FR"/>
        </w:rPr>
        <w:t>)</w:t>
      </w:r>
      <w:r w:rsidRPr="00614EF9">
        <w:rPr>
          <w:rFonts w:ascii="Century Gothic" w:hAnsi="Century Gothic"/>
          <w:sz w:val="24"/>
          <w:szCs w:val="24"/>
          <w:lang w:val="fr-FR"/>
        </w:rPr>
        <w:t xml:space="preserve"> fixent les attributions de référence dont procèdent les changements opérés par le PNAF, édition 2025. </w:t>
      </w:r>
    </w:p>
    <w:p w14:paraId="245875F3" w14:textId="6A900F74" w:rsidR="00F70DF8" w:rsidRPr="00614EF9" w:rsidRDefault="00F70DF8" w:rsidP="007A7843">
      <w:pPr>
        <w:pStyle w:val="Paragraphedeliste"/>
        <w:numPr>
          <w:ilvl w:val="1"/>
          <w:numId w:val="3"/>
        </w:numPr>
        <w:spacing w:before="120" w:after="120"/>
        <w:ind w:left="1434" w:hanging="357"/>
        <w:jc w:val="both"/>
        <w:rPr>
          <w:rFonts w:ascii="Century Gothic" w:hAnsi="Century Gothic"/>
          <w:sz w:val="24"/>
          <w:szCs w:val="24"/>
          <w:lang w:val="fr-FR"/>
        </w:rPr>
      </w:pPr>
      <w:r w:rsidRPr="00614EF9">
        <w:rPr>
          <w:rFonts w:ascii="Century Gothic" w:hAnsi="Century Gothic"/>
          <w:sz w:val="24"/>
          <w:szCs w:val="24"/>
          <w:lang w:val="fr-FR"/>
        </w:rPr>
        <w:t>L’Accord régional de Genève de 2006 (GE06</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r w:rsidR="00A933AD" w:rsidRPr="00614EF9">
        <w:rPr>
          <w:rFonts w:ascii="Century Gothic" w:hAnsi="Century Gothic"/>
          <w:sz w:val="24"/>
          <w:szCs w:val="24"/>
          <w:lang w:val="fr-FR"/>
        </w:rPr>
        <w:instrText>GE</w:instrText>
      </w:r>
      <w:proofErr w:type="gramStart"/>
      <w:r w:rsidR="00A933AD" w:rsidRPr="00614EF9">
        <w:rPr>
          <w:rFonts w:ascii="Century Gothic" w:hAnsi="Century Gothic"/>
          <w:sz w:val="24"/>
          <w:szCs w:val="24"/>
          <w:lang w:val="fr-FR"/>
        </w:rPr>
        <w:instrText>06</w:instrText>
      </w:r>
      <w:r w:rsidR="00A933AD" w:rsidRPr="00614EF9">
        <w:rPr>
          <w:rFonts w:ascii="Century Gothic" w:hAnsi="Century Gothic"/>
          <w:lang w:val="fr-FR"/>
        </w:rPr>
        <w:instrText>:</w:instrText>
      </w:r>
      <w:r w:rsidR="00A933AD" w:rsidRPr="00614EF9">
        <w:rPr>
          <w:rFonts w:ascii="Century Gothic" w:hAnsi="Century Gothic"/>
        </w:rPr>
        <w:instrText>Accord</w:instrText>
      </w:r>
      <w:proofErr w:type="gramEnd"/>
      <w:r w:rsidR="00A933AD" w:rsidRPr="00614EF9">
        <w:rPr>
          <w:rFonts w:ascii="Century Gothic" w:hAnsi="Century Gothic"/>
        </w:rPr>
        <w:instrText xml:space="preserve"> régional de Genève 2006" </w:instrText>
      </w:r>
      <w:r w:rsidR="00A933AD" w:rsidRPr="00614EF9">
        <w:rPr>
          <w:rFonts w:ascii="Century Gothic" w:hAnsi="Century Gothic"/>
          <w:sz w:val="24"/>
          <w:szCs w:val="24"/>
          <w:lang w:val="fr-FR"/>
        </w:rPr>
        <w:fldChar w:fldCharType="end"/>
      </w:r>
      <w:r w:rsidRPr="00614EF9">
        <w:rPr>
          <w:rFonts w:ascii="Century Gothic" w:hAnsi="Century Gothic"/>
          <w:sz w:val="24"/>
          <w:szCs w:val="24"/>
          <w:lang w:val="fr-FR"/>
        </w:rPr>
        <w:t>) régit la planification de la radiodiffusion numérique terrestre en ondes décimétriques. Son plan portait à l’origine sur 470-862 MHz</w:t>
      </w:r>
      <w:r w:rsidR="00A933AD" w:rsidRPr="00614EF9">
        <w:rPr>
          <w:rFonts w:ascii="Century Gothic" w:hAnsi="Century Gothic"/>
          <w:sz w:val="24"/>
          <w:szCs w:val="24"/>
          <w:lang w:val="fr-FR"/>
        </w:rPr>
        <w:fldChar w:fldCharType="begin"/>
      </w:r>
      <w:r w:rsidR="00A933AD" w:rsidRPr="00614EF9">
        <w:rPr>
          <w:rFonts w:ascii="Century Gothic" w:hAnsi="Century Gothic"/>
        </w:rPr>
        <w:instrText xml:space="preserve"> XE "</w:instrText>
      </w:r>
      <w:proofErr w:type="gramStart"/>
      <w:r w:rsidR="00A933AD" w:rsidRPr="00614EF9">
        <w:rPr>
          <w:rFonts w:ascii="Century Gothic" w:hAnsi="Century Gothic"/>
          <w:sz w:val="24"/>
          <w:szCs w:val="24"/>
          <w:lang w:val="fr-FR"/>
        </w:rPr>
        <w:instrText>MHz</w:instrText>
      </w:r>
      <w:r w:rsidR="00A933AD" w:rsidRPr="00614EF9">
        <w:rPr>
          <w:rFonts w:ascii="Century Gothic" w:hAnsi="Century Gothic"/>
          <w:lang w:val="fr-FR"/>
        </w:rPr>
        <w:instrText>:</w:instrText>
      </w:r>
      <w:r w:rsidR="00A933AD" w:rsidRPr="00614EF9">
        <w:rPr>
          <w:rFonts w:ascii="Century Gothic" w:hAnsi="Century Gothic"/>
        </w:rPr>
        <w:instrText>Méga</w:instrText>
      </w:r>
      <w:proofErr w:type="gramEnd"/>
      <w:r w:rsidR="00A933AD" w:rsidRPr="00614EF9">
        <w:rPr>
          <w:rFonts w:ascii="Century Gothic" w:hAnsi="Century Gothic"/>
        </w:rPr>
        <w:instrText xml:space="preserve"> Hertz" </w:instrText>
      </w:r>
      <w:r w:rsidR="00A933AD" w:rsidRPr="00614EF9">
        <w:rPr>
          <w:rFonts w:ascii="Century Gothic" w:hAnsi="Century Gothic"/>
          <w:sz w:val="24"/>
          <w:szCs w:val="24"/>
          <w:lang w:val="fr-FR"/>
        </w:rPr>
        <w:fldChar w:fldCharType="end"/>
      </w:r>
      <w:r w:rsidRPr="00614EF9">
        <w:rPr>
          <w:rFonts w:ascii="Century Gothic" w:hAnsi="Century Gothic"/>
          <w:sz w:val="24"/>
          <w:szCs w:val="24"/>
          <w:lang w:val="fr-FR"/>
        </w:rPr>
        <w:t xml:space="preserve"> ; en Région 1, la bande de radiodiffusion a été ramenée à 470-694 MHz par les CMR-12 et CMR-15.</w:t>
      </w:r>
    </w:p>
    <w:p w14:paraId="70B1A113" w14:textId="77777777" w:rsidR="00F70DF8" w:rsidRPr="00614EF9" w:rsidRDefault="00F70DF8" w:rsidP="007A7843">
      <w:pPr>
        <w:pStyle w:val="Paragraphedeliste"/>
        <w:numPr>
          <w:ilvl w:val="0"/>
          <w:numId w:val="3"/>
        </w:numPr>
        <w:spacing w:before="120" w:after="120"/>
        <w:jc w:val="both"/>
        <w:rPr>
          <w:rFonts w:ascii="Century Gothic" w:hAnsi="Century Gothic"/>
          <w:sz w:val="24"/>
          <w:szCs w:val="24"/>
          <w:lang w:val="fr-FR"/>
        </w:rPr>
      </w:pPr>
      <w:r w:rsidRPr="00614EF9">
        <w:rPr>
          <w:rFonts w:ascii="Century Gothic" w:hAnsi="Century Gothic"/>
          <w:b/>
          <w:sz w:val="24"/>
          <w:szCs w:val="24"/>
          <w:lang w:val="fr-FR"/>
        </w:rPr>
        <w:t xml:space="preserve">Textes techniques de référence </w:t>
      </w:r>
    </w:p>
    <w:p w14:paraId="697D3FC6" w14:textId="15397DFE" w:rsidR="00F70DF8" w:rsidRPr="00614EF9" w:rsidRDefault="00F70DF8"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lastRenderedPageBreak/>
        <w:t>Les spécifications 3GPP</w:t>
      </w:r>
      <w:r w:rsidR="00107B9F" w:rsidRPr="00614EF9">
        <w:rPr>
          <w:rFonts w:ascii="Century Gothic" w:hAnsi="Century Gothic"/>
          <w:sz w:val="24"/>
          <w:szCs w:val="24"/>
          <w:lang w:val="fr-FR"/>
        </w:rPr>
        <w:fldChar w:fldCharType="begin"/>
      </w:r>
      <w:r w:rsidR="00107B9F" w:rsidRPr="00614EF9">
        <w:rPr>
          <w:rFonts w:ascii="Century Gothic" w:hAnsi="Century Gothic"/>
        </w:rPr>
        <w:instrText xml:space="preserve"> XE "</w:instrText>
      </w:r>
      <w:r w:rsidR="00107B9F" w:rsidRPr="00614EF9">
        <w:rPr>
          <w:rFonts w:ascii="Century Gothic" w:hAnsi="Century Gothic"/>
          <w:sz w:val="24"/>
          <w:szCs w:val="24"/>
          <w:lang w:val="fr-FR"/>
        </w:rPr>
        <w:instrText>3</w:instrText>
      </w:r>
      <w:proofErr w:type="gramStart"/>
      <w:r w:rsidR="00107B9F" w:rsidRPr="00614EF9">
        <w:rPr>
          <w:rFonts w:ascii="Century Gothic" w:hAnsi="Century Gothic"/>
          <w:sz w:val="24"/>
          <w:szCs w:val="24"/>
          <w:lang w:val="fr-FR"/>
        </w:rPr>
        <w:instrText>GPP</w:instrText>
      </w:r>
      <w:r w:rsidR="00107B9F" w:rsidRPr="00614EF9">
        <w:rPr>
          <w:rFonts w:ascii="Century Gothic" w:hAnsi="Century Gothic"/>
          <w:lang w:val="fr-FR"/>
        </w:rPr>
        <w:instrText>:</w:instrText>
      </w:r>
      <w:r w:rsidR="00107B9F" w:rsidRPr="00614EF9">
        <w:rPr>
          <w:rFonts w:ascii="Century Gothic" w:hAnsi="Century Gothic"/>
        </w:rPr>
        <w:instrText>Projet</w:instrText>
      </w:r>
      <w:proofErr w:type="gramEnd"/>
      <w:r w:rsidR="00107B9F" w:rsidRPr="00614EF9">
        <w:rPr>
          <w:rFonts w:ascii="Century Gothic" w:hAnsi="Century Gothic"/>
        </w:rPr>
        <w:instrText xml:space="preserve"> de partenariat de troisième génération" </w:instrText>
      </w:r>
      <w:r w:rsidR="00107B9F" w:rsidRPr="00614EF9">
        <w:rPr>
          <w:rFonts w:ascii="Century Gothic" w:hAnsi="Century Gothic"/>
          <w:sz w:val="24"/>
          <w:szCs w:val="24"/>
          <w:lang w:val="fr-FR"/>
        </w:rPr>
        <w:fldChar w:fldCharType="end"/>
      </w:r>
      <w:r w:rsidRPr="00614EF9">
        <w:rPr>
          <w:rFonts w:ascii="Century Gothic" w:hAnsi="Century Gothic"/>
          <w:sz w:val="24"/>
          <w:szCs w:val="24"/>
          <w:lang w:val="fr-FR"/>
        </w:rPr>
        <w:t xml:space="preserve"> définissent les arrangements de fréquences retenus. </w:t>
      </w:r>
    </w:p>
    <w:p w14:paraId="05048219" w14:textId="5B9B9F38" w:rsidR="00F70DF8" w:rsidRPr="00614EF9" w:rsidRDefault="00F70DF8" w:rsidP="007A7843">
      <w:pPr>
        <w:pStyle w:val="Paragraphedeliste"/>
        <w:numPr>
          <w:ilvl w:val="1"/>
          <w:numId w:val="3"/>
        </w:numPr>
        <w:spacing w:before="120" w:after="120"/>
        <w:jc w:val="both"/>
        <w:rPr>
          <w:rFonts w:ascii="Century Gothic" w:hAnsi="Century Gothic"/>
          <w:sz w:val="24"/>
          <w:szCs w:val="24"/>
          <w:lang w:val="fr-FR"/>
        </w:rPr>
      </w:pPr>
      <w:r w:rsidRPr="00614EF9">
        <w:rPr>
          <w:rFonts w:ascii="Century Gothic" w:hAnsi="Century Gothic"/>
          <w:sz w:val="24"/>
          <w:szCs w:val="24"/>
          <w:lang w:val="fr-FR"/>
        </w:rPr>
        <w:t>Les Recommandations de l'UIT-R</w:t>
      </w:r>
      <w:r w:rsidR="00107B9F" w:rsidRPr="00614EF9">
        <w:rPr>
          <w:rFonts w:ascii="Century Gothic" w:hAnsi="Century Gothic"/>
          <w:sz w:val="24"/>
          <w:szCs w:val="24"/>
          <w:lang w:val="fr-FR"/>
        </w:rPr>
        <w:fldChar w:fldCharType="begin"/>
      </w:r>
      <w:r w:rsidR="00107B9F" w:rsidRPr="00614EF9">
        <w:rPr>
          <w:rFonts w:ascii="Century Gothic" w:hAnsi="Century Gothic"/>
        </w:rPr>
        <w:instrText xml:space="preserve"> XE "</w:instrText>
      </w:r>
      <w:r w:rsidR="00107B9F" w:rsidRPr="00614EF9">
        <w:rPr>
          <w:rFonts w:ascii="Century Gothic" w:hAnsi="Century Gothic"/>
          <w:sz w:val="24"/>
          <w:szCs w:val="24"/>
          <w:lang w:val="fr-FR"/>
        </w:rPr>
        <w:instrText>UIT-</w:instrText>
      </w:r>
      <w:proofErr w:type="gramStart"/>
      <w:r w:rsidR="00107B9F" w:rsidRPr="00614EF9">
        <w:rPr>
          <w:rFonts w:ascii="Century Gothic" w:hAnsi="Century Gothic"/>
          <w:sz w:val="24"/>
          <w:szCs w:val="24"/>
          <w:lang w:val="fr-FR"/>
        </w:rPr>
        <w:instrText>R</w:instrText>
      </w:r>
      <w:r w:rsidR="00107B9F" w:rsidRPr="00614EF9">
        <w:rPr>
          <w:rFonts w:ascii="Century Gothic" w:hAnsi="Century Gothic"/>
          <w:lang w:val="fr-FR"/>
        </w:rPr>
        <w:instrText>:</w:instrText>
      </w:r>
      <w:r w:rsidR="00107B9F" w:rsidRPr="00614EF9">
        <w:rPr>
          <w:rFonts w:ascii="Century Gothic" w:hAnsi="Century Gothic"/>
        </w:rPr>
        <w:instrText>Secteur</w:instrText>
      </w:r>
      <w:proofErr w:type="gramEnd"/>
      <w:r w:rsidR="00107B9F" w:rsidRPr="00614EF9">
        <w:rPr>
          <w:rFonts w:ascii="Century Gothic" w:hAnsi="Century Gothic"/>
        </w:rPr>
        <w:instrText xml:space="preserve"> des radiocommunications de l'UIT" </w:instrText>
      </w:r>
      <w:r w:rsidR="00107B9F" w:rsidRPr="00614EF9">
        <w:rPr>
          <w:rFonts w:ascii="Century Gothic" w:hAnsi="Century Gothic"/>
          <w:sz w:val="24"/>
          <w:szCs w:val="24"/>
          <w:lang w:val="fr-FR"/>
        </w:rPr>
        <w:fldChar w:fldCharType="end"/>
      </w:r>
      <w:r w:rsidRPr="00614EF9">
        <w:rPr>
          <w:rFonts w:ascii="Century Gothic" w:hAnsi="Century Gothic"/>
          <w:sz w:val="24"/>
          <w:szCs w:val="24"/>
          <w:lang w:val="fr-FR"/>
        </w:rPr>
        <w:t xml:space="preserve"> applicables encadrent les conditions de coexistence.</w:t>
      </w:r>
    </w:p>
    <w:p w14:paraId="18FFB387" w14:textId="2E9F3C77" w:rsidR="00F70DF8" w:rsidRPr="00614EF9" w:rsidRDefault="00F70DF8" w:rsidP="00F70DF8">
      <w:pPr>
        <w:rPr>
          <w:lang w:val="fr-FR"/>
        </w:rPr>
      </w:pPr>
      <w:r w:rsidRPr="00614EF9">
        <w:rPr>
          <w:lang w:val="fr-FR"/>
        </w:rPr>
        <w:t xml:space="preserve">La liste consolidée des textes figure à </w:t>
      </w:r>
      <w:r w:rsidR="00D610B4" w:rsidRPr="00614EF9">
        <w:rPr>
          <w:lang w:val="fr-FR"/>
        </w:rPr>
        <w:t>l’</w:t>
      </w:r>
      <w:r w:rsidR="00D610B4" w:rsidRPr="00614EF9">
        <w:rPr>
          <w:lang w:val="fr-FR"/>
        </w:rPr>
        <w:fldChar w:fldCharType="begin"/>
      </w:r>
      <w:r w:rsidR="00D610B4" w:rsidRPr="00614EF9">
        <w:rPr>
          <w:lang w:val="fr-FR"/>
        </w:rPr>
        <w:instrText xml:space="preserve"> REF _Ref240511670 \h </w:instrText>
      </w:r>
      <w:r w:rsidR="009209BA" w:rsidRPr="00614EF9">
        <w:rPr>
          <w:lang w:val="fr-FR"/>
        </w:rPr>
        <w:instrText xml:space="preserve"> \* MERGEFORMAT </w:instrText>
      </w:r>
      <w:r w:rsidR="00D610B4" w:rsidRPr="00614EF9">
        <w:rPr>
          <w:lang w:val="fr-FR"/>
        </w:rPr>
      </w:r>
      <w:r w:rsidR="00D610B4" w:rsidRPr="00614EF9">
        <w:rPr>
          <w:lang w:val="fr-FR"/>
        </w:rPr>
        <w:fldChar w:fldCharType="separate"/>
      </w:r>
      <w:r w:rsidR="00D610B4" w:rsidRPr="00614EF9">
        <w:rPr>
          <w:lang w:val="fr-FR"/>
        </w:rPr>
        <w:t>Annexe C</w:t>
      </w:r>
      <w:r w:rsidR="00D610B4" w:rsidRPr="00614EF9">
        <w:rPr>
          <w:lang w:val="fr-FR"/>
        </w:rPr>
        <w:fldChar w:fldCharType="end"/>
      </w:r>
      <w:r w:rsidRPr="00614EF9">
        <w:rPr>
          <w:lang w:val="fr-FR"/>
        </w:rPr>
        <w:t>.</w:t>
      </w:r>
    </w:p>
    <w:p w14:paraId="24970F99" w14:textId="77777777" w:rsidR="007C757E" w:rsidRPr="00614EF9" w:rsidRDefault="009514E2" w:rsidP="007D4BE4">
      <w:pPr>
        <w:pStyle w:val="Titre2"/>
        <w:rPr>
          <w:lang w:val="fr-FR"/>
        </w:rPr>
      </w:pPr>
      <w:bookmarkStart w:id="32" w:name="_Toc240614349"/>
      <w:r w:rsidRPr="00614EF9">
        <w:rPr>
          <w:lang w:val="fr-FR"/>
        </w:rPr>
        <w:t>Portée du plan</w:t>
      </w:r>
      <w:bookmarkEnd w:id="30"/>
      <w:bookmarkEnd w:id="31"/>
      <w:bookmarkEnd w:id="32"/>
    </w:p>
    <w:p w14:paraId="523E13FB" w14:textId="77777777" w:rsidR="00133098" w:rsidRPr="00614EF9" w:rsidRDefault="00133098" w:rsidP="0066730D">
      <w:pPr>
        <w:pStyle w:val="Titre3"/>
        <w:rPr>
          <w:lang w:val="fr-FR"/>
        </w:rPr>
      </w:pPr>
      <w:bookmarkStart w:id="33" w:name="_Toc240614350"/>
      <w:r w:rsidRPr="00614EF9">
        <w:rPr>
          <w:lang w:val="fr-FR"/>
        </w:rPr>
        <w:t>Bandes de fréquences</w:t>
      </w:r>
      <w:bookmarkEnd w:id="33"/>
    </w:p>
    <w:p w14:paraId="32917540" w14:textId="77777777" w:rsidR="003A2650" w:rsidRPr="00614EF9" w:rsidRDefault="009514E2" w:rsidP="00BA2320">
      <w:pPr>
        <w:rPr>
          <w:lang w:val="fr-FR"/>
        </w:rPr>
      </w:pPr>
      <w:r w:rsidRPr="00614EF9">
        <w:rPr>
          <w:lang w:val="fr-FR"/>
        </w:rPr>
        <w:t>Le plan de transition couvre l'ensemble des bandes de fréquences dont l'attribution a été modifiée par le PNAF, édition 2025, ou dont la libération assurera une efficience spectrale au profit des services prioritaires. Quatre volets sont retenus.</w:t>
      </w:r>
    </w:p>
    <w:p w14:paraId="114BF5C4" w14:textId="0FC9D874" w:rsidR="00BB7AAA" w:rsidRPr="00614EF9" w:rsidRDefault="00BB7AAA" w:rsidP="00BA2320">
      <w:pPr>
        <w:rPr>
          <w:lang w:val="fr-FR"/>
        </w:rPr>
      </w:pPr>
      <w:r w:rsidRPr="00614EF9">
        <w:rPr>
          <w:lang w:val="fr-FR"/>
        </w:rPr>
        <w:t>Le</w:t>
      </w:r>
      <w:r w:rsidR="007A7843" w:rsidRPr="00614EF9">
        <w:rPr>
          <w:lang w:val="fr-FR"/>
        </w:rPr>
        <w:t xml:space="preserve"> </w:t>
      </w:r>
      <w:r w:rsidRPr="00614EF9">
        <w:rPr>
          <w:lang w:val="fr-FR"/>
        </w:rPr>
        <w:fldChar w:fldCharType="begin"/>
      </w:r>
      <w:r w:rsidRPr="00614EF9">
        <w:rPr>
          <w:lang w:val="fr-FR"/>
        </w:rPr>
        <w:instrText xml:space="preserve"> REF _Ref240354663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w:t>
      </w:r>
      <w:r w:rsidRPr="00614EF9">
        <w:rPr>
          <w:lang w:val="fr-FR"/>
        </w:rPr>
        <w:fldChar w:fldCharType="end"/>
      </w:r>
      <w:r w:rsidR="007A7843" w:rsidRPr="00614EF9">
        <w:rPr>
          <w:lang w:val="fr-FR"/>
        </w:rPr>
        <w:t xml:space="preserve"> ci-dessous recapitule les bandes de fréquences concernées par le plan de transition.</w:t>
      </w:r>
    </w:p>
    <w:tbl>
      <w:tblPr>
        <w:tblStyle w:val="TableauGrille4-Accentuation3"/>
        <w:tblW w:w="9638" w:type="dxa"/>
        <w:jc w:val="center"/>
        <w:tblLayout w:type="fixed"/>
        <w:tblLook w:val="04A0" w:firstRow="1" w:lastRow="0" w:firstColumn="1" w:lastColumn="0" w:noHBand="0" w:noVBand="1"/>
      </w:tblPr>
      <w:tblGrid>
        <w:gridCol w:w="1500"/>
        <w:gridCol w:w="2000"/>
        <w:gridCol w:w="3200"/>
        <w:gridCol w:w="2938"/>
      </w:tblGrid>
      <w:tr w:rsidR="003A2650" w:rsidRPr="00614EF9" w14:paraId="64A8C6B6"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500" w:type="dxa"/>
            <w:tcMar>
              <w:top w:w="40" w:type="dxa"/>
              <w:bottom w:w="40" w:type="dxa"/>
            </w:tcMar>
          </w:tcPr>
          <w:p w14:paraId="2A2007B1" w14:textId="77777777" w:rsidR="003A2650" w:rsidRPr="00614EF9" w:rsidRDefault="00BA2320">
            <w:pPr>
              <w:spacing w:before="20" w:after="20"/>
              <w:rPr>
                <w:sz w:val="18"/>
                <w:szCs w:val="18"/>
                <w:lang w:val="fr-FR"/>
              </w:rPr>
            </w:pPr>
            <w:r w:rsidRPr="00614EF9">
              <w:rPr>
                <w:color w:val="FFFFFF"/>
                <w:sz w:val="18"/>
                <w:szCs w:val="18"/>
                <w:lang w:val="fr-FR"/>
              </w:rPr>
              <w:t>VOLET</w:t>
            </w:r>
          </w:p>
        </w:tc>
        <w:tc>
          <w:tcPr>
            <w:tcW w:w="2000" w:type="dxa"/>
            <w:tcMar>
              <w:top w:w="40" w:type="dxa"/>
              <w:bottom w:w="40" w:type="dxa"/>
            </w:tcMar>
          </w:tcPr>
          <w:p w14:paraId="29D3E094" w14:textId="77777777" w:rsidR="003A2650" w:rsidRPr="00614EF9" w:rsidRDefault="00BA2320">
            <w:pPr>
              <w:spacing w:before="20" w:after="20"/>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color w:val="FFFFFF"/>
                <w:sz w:val="18"/>
                <w:szCs w:val="18"/>
                <w:lang w:val="fr-FR"/>
              </w:rPr>
              <w:t>BANDE CONCERNÉE</w:t>
            </w:r>
          </w:p>
        </w:tc>
        <w:tc>
          <w:tcPr>
            <w:tcW w:w="3200" w:type="dxa"/>
            <w:tcMar>
              <w:top w:w="40" w:type="dxa"/>
              <w:bottom w:w="40" w:type="dxa"/>
            </w:tcMar>
          </w:tcPr>
          <w:p w14:paraId="405B47FC" w14:textId="77777777" w:rsidR="003A2650" w:rsidRPr="00614EF9" w:rsidRDefault="00BA2320">
            <w:pPr>
              <w:spacing w:before="20" w:after="20"/>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color w:val="FFFFFF"/>
                <w:sz w:val="18"/>
                <w:szCs w:val="18"/>
                <w:lang w:val="fr-FR"/>
              </w:rPr>
              <w:t>USAGE ACTUEL</w:t>
            </w:r>
          </w:p>
        </w:tc>
        <w:tc>
          <w:tcPr>
            <w:tcW w:w="2938" w:type="dxa"/>
            <w:tcMar>
              <w:top w:w="40" w:type="dxa"/>
              <w:bottom w:w="40" w:type="dxa"/>
            </w:tcMar>
          </w:tcPr>
          <w:p w14:paraId="08E56D8F" w14:textId="77777777" w:rsidR="003A2650" w:rsidRPr="00614EF9" w:rsidRDefault="00BA2320">
            <w:pPr>
              <w:spacing w:before="20" w:after="20"/>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color w:val="FFFFFF"/>
                <w:sz w:val="18"/>
                <w:szCs w:val="18"/>
                <w:lang w:val="fr-FR"/>
              </w:rPr>
              <w:t>DESTINATION</w:t>
            </w:r>
          </w:p>
        </w:tc>
      </w:tr>
      <w:tr w:rsidR="003A2650" w:rsidRPr="00614EF9" w14:paraId="3B1174A6"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00" w:type="dxa"/>
            <w:tcMar>
              <w:top w:w="40" w:type="dxa"/>
              <w:bottom w:w="40" w:type="dxa"/>
            </w:tcMar>
          </w:tcPr>
          <w:p w14:paraId="39DC2410" w14:textId="77777777" w:rsidR="003A2650" w:rsidRPr="00614EF9" w:rsidRDefault="009514E2">
            <w:pPr>
              <w:spacing w:before="20" w:after="20"/>
              <w:rPr>
                <w:sz w:val="18"/>
                <w:szCs w:val="18"/>
                <w:lang w:val="fr-FR"/>
              </w:rPr>
            </w:pPr>
            <w:r w:rsidRPr="00614EF9">
              <w:rPr>
                <w:sz w:val="18"/>
                <w:szCs w:val="18"/>
                <w:lang w:val="fr-FR"/>
              </w:rPr>
              <w:t>Volet 1 — FWA</w:t>
            </w:r>
          </w:p>
        </w:tc>
        <w:tc>
          <w:tcPr>
            <w:tcW w:w="2000" w:type="dxa"/>
            <w:tcMar>
              <w:top w:w="40" w:type="dxa"/>
              <w:bottom w:w="40" w:type="dxa"/>
            </w:tcMar>
          </w:tcPr>
          <w:p w14:paraId="4D603B86"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2 400–2 483,5 MHz et 5 GHz</w:t>
            </w:r>
          </w:p>
        </w:tc>
        <w:tc>
          <w:tcPr>
            <w:tcW w:w="3200" w:type="dxa"/>
            <w:tcMar>
              <w:top w:w="40" w:type="dxa"/>
              <w:bottom w:w="40" w:type="dxa"/>
            </w:tcMar>
          </w:tcPr>
          <w:p w14:paraId="7FD868FB"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Réseaux d'accès hertzien fixe des fournisseurs d'accès à Internet</w:t>
            </w:r>
          </w:p>
        </w:tc>
        <w:tc>
          <w:tcPr>
            <w:tcW w:w="2938" w:type="dxa"/>
            <w:tcMar>
              <w:top w:w="40" w:type="dxa"/>
              <w:bottom w:w="40" w:type="dxa"/>
            </w:tcMar>
          </w:tcPr>
          <w:p w14:paraId="2C405534"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Réservation aux réseaux privés ; migration vers 5 925–6 425 MHz</w:t>
            </w:r>
            <w:r w:rsidR="00BF016F" w:rsidRPr="00614EF9">
              <w:rPr>
                <w:sz w:val="18"/>
                <w:szCs w:val="18"/>
                <w:lang w:val="fr-FR"/>
              </w:rPr>
              <w:t xml:space="preserve"> (6 GHz Low)</w:t>
            </w:r>
          </w:p>
        </w:tc>
      </w:tr>
      <w:tr w:rsidR="003A2650" w:rsidRPr="00614EF9" w14:paraId="4FD08075"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1500" w:type="dxa"/>
            <w:tcMar>
              <w:top w:w="40" w:type="dxa"/>
              <w:bottom w:w="40" w:type="dxa"/>
            </w:tcMar>
          </w:tcPr>
          <w:p w14:paraId="27B4C618" w14:textId="77777777" w:rsidR="003A2650" w:rsidRPr="00614EF9" w:rsidRDefault="009514E2">
            <w:pPr>
              <w:spacing w:before="20" w:after="20"/>
              <w:rPr>
                <w:sz w:val="18"/>
                <w:szCs w:val="18"/>
                <w:lang w:val="fr-FR"/>
              </w:rPr>
            </w:pPr>
            <w:r w:rsidRPr="00614EF9">
              <w:rPr>
                <w:sz w:val="18"/>
                <w:szCs w:val="18"/>
                <w:lang w:val="fr-FR"/>
              </w:rPr>
              <w:t>Volet 2 — 600 MHz</w:t>
            </w:r>
          </w:p>
        </w:tc>
        <w:tc>
          <w:tcPr>
            <w:tcW w:w="2000" w:type="dxa"/>
            <w:tcMar>
              <w:top w:w="40" w:type="dxa"/>
              <w:bottom w:w="40" w:type="dxa"/>
            </w:tcMar>
          </w:tcPr>
          <w:p w14:paraId="5D204CA0" w14:textId="77777777" w:rsidR="003A2650" w:rsidRPr="00614EF9" w:rsidRDefault="00BA2320">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614 – 694 MHz</w:t>
            </w:r>
          </w:p>
        </w:tc>
        <w:tc>
          <w:tcPr>
            <w:tcW w:w="3200" w:type="dxa"/>
            <w:tcMar>
              <w:top w:w="40" w:type="dxa"/>
              <w:bottom w:w="40" w:type="dxa"/>
            </w:tcMar>
          </w:tcPr>
          <w:p w14:paraId="3B288206"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Télévision numérique terrestre</w:t>
            </w:r>
          </w:p>
        </w:tc>
        <w:tc>
          <w:tcPr>
            <w:tcW w:w="2938" w:type="dxa"/>
            <w:tcMar>
              <w:top w:w="40" w:type="dxa"/>
              <w:bottom w:w="40" w:type="dxa"/>
            </w:tcMar>
          </w:tcPr>
          <w:p w14:paraId="1C10E93D"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Service mobile — applications IMT (5G et ultérieur)</w:t>
            </w:r>
          </w:p>
        </w:tc>
      </w:tr>
      <w:tr w:rsidR="003A2650" w:rsidRPr="00614EF9" w14:paraId="63106022"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00" w:type="dxa"/>
            <w:tcMar>
              <w:top w:w="40" w:type="dxa"/>
              <w:bottom w:w="40" w:type="dxa"/>
            </w:tcMar>
          </w:tcPr>
          <w:p w14:paraId="0CDCE44B" w14:textId="77777777" w:rsidR="003A2650" w:rsidRPr="00614EF9" w:rsidRDefault="009514E2">
            <w:pPr>
              <w:spacing w:before="20" w:after="20"/>
              <w:rPr>
                <w:sz w:val="18"/>
                <w:szCs w:val="18"/>
                <w:lang w:val="fr-FR"/>
              </w:rPr>
            </w:pPr>
            <w:r w:rsidRPr="00614EF9">
              <w:rPr>
                <w:sz w:val="18"/>
                <w:szCs w:val="18"/>
                <w:lang w:val="fr-FR"/>
              </w:rPr>
              <w:t>Volet 3 — 700 MHz</w:t>
            </w:r>
          </w:p>
        </w:tc>
        <w:tc>
          <w:tcPr>
            <w:tcW w:w="2000" w:type="dxa"/>
            <w:tcMar>
              <w:top w:w="40" w:type="dxa"/>
              <w:bottom w:w="40" w:type="dxa"/>
            </w:tcMar>
          </w:tcPr>
          <w:p w14:paraId="112ED848"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694–790 MHz</w:t>
            </w:r>
          </w:p>
        </w:tc>
        <w:tc>
          <w:tcPr>
            <w:tcW w:w="3200" w:type="dxa"/>
            <w:tcMar>
              <w:top w:w="40" w:type="dxa"/>
              <w:bottom w:w="40" w:type="dxa"/>
            </w:tcMar>
          </w:tcPr>
          <w:p w14:paraId="4D2BFD20"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Télévision analogique résiduelle ; brouillages d'intermodulation issus de la bande FM</w:t>
            </w:r>
          </w:p>
        </w:tc>
        <w:tc>
          <w:tcPr>
            <w:tcW w:w="2938" w:type="dxa"/>
            <w:tcMar>
              <w:top w:w="40" w:type="dxa"/>
              <w:bottom w:w="40" w:type="dxa"/>
            </w:tcMar>
          </w:tcPr>
          <w:p w14:paraId="2B9A8C98"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Service mobile — applications IMT (5G et ultérieur)</w:t>
            </w:r>
          </w:p>
        </w:tc>
      </w:tr>
      <w:tr w:rsidR="003A2650" w:rsidRPr="00614EF9" w14:paraId="5477DE14"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1500" w:type="dxa"/>
            <w:tcMar>
              <w:top w:w="40" w:type="dxa"/>
              <w:bottom w:w="40" w:type="dxa"/>
            </w:tcMar>
          </w:tcPr>
          <w:p w14:paraId="0644EC0B" w14:textId="77777777" w:rsidR="003A2650" w:rsidRPr="00614EF9" w:rsidRDefault="009514E2">
            <w:pPr>
              <w:spacing w:before="20" w:after="20"/>
              <w:rPr>
                <w:sz w:val="18"/>
                <w:szCs w:val="18"/>
                <w:lang w:val="fr-FR"/>
              </w:rPr>
            </w:pPr>
            <w:r w:rsidRPr="00614EF9">
              <w:rPr>
                <w:sz w:val="18"/>
                <w:szCs w:val="18"/>
                <w:lang w:val="fr-FR"/>
              </w:rPr>
              <w:t>Volet 4 — Bande C</w:t>
            </w:r>
          </w:p>
        </w:tc>
        <w:tc>
          <w:tcPr>
            <w:tcW w:w="2000" w:type="dxa"/>
            <w:tcMar>
              <w:top w:w="40" w:type="dxa"/>
              <w:bottom w:w="40" w:type="dxa"/>
            </w:tcMar>
          </w:tcPr>
          <w:p w14:paraId="1D2026DC"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3 400–3 800 MHz</w:t>
            </w:r>
          </w:p>
        </w:tc>
        <w:tc>
          <w:tcPr>
            <w:tcW w:w="3200" w:type="dxa"/>
            <w:tcMar>
              <w:top w:w="40" w:type="dxa"/>
              <w:bottom w:w="40" w:type="dxa"/>
            </w:tcMar>
          </w:tcPr>
          <w:p w14:paraId="757F769F"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 xml:space="preserve">Accès hertzien fixe </w:t>
            </w:r>
            <w:proofErr w:type="gramStart"/>
            <w:r w:rsidRPr="00614EF9">
              <w:rPr>
                <w:sz w:val="18"/>
                <w:szCs w:val="18"/>
                <w:lang w:val="fr-FR"/>
              </w:rPr>
              <w:t>hérité</w:t>
            </w:r>
            <w:proofErr w:type="gramEnd"/>
            <w:r w:rsidRPr="00614EF9">
              <w:rPr>
                <w:sz w:val="18"/>
                <w:szCs w:val="18"/>
                <w:lang w:val="fr-FR"/>
              </w:rPr>
              <w:t xml:space="preserve"> ; réception du service fixe par satellite en bande C</w:t>
            </w:r>
          </w:p>
        </w:tc>
        <w:tc>
          <w:tcPr>
            <w:tcW w:w="2938" w:type="dxa"/>
            <w:tcMar>
              <w:top w:w="40" w:type="dxa"/>
              <w:bottom w:w="40" w:type="dxa"/>
            </w:tcMar>
          </w:tcPr>
          <w:p w14:paraId="35F6B483"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Service mobile — applications IMT (5G)</w:t>
            </w:r>
          </w:p>
        </w:tc>
      </w:tr>
    </w:tbl>
    <w:p w14:paraId="158F92F7" w14:textId="77777777" w:rsidR="003A2650" w:rsidRPr="00614EF9" w:rsidRDefault="00BA2320" w:rsidP="00BA2320">
      <w:pPr>
        <w:pStyle w:val="Lgende"/>
        <w:spacing w:before="120" w:after="120"/>
        <w:rPr>
          <w:color w:val="000000" w:themeColor="text1"/>
          <w:lang w:val="fr-FR"/>
        </w:rPr>
      </w:pPr>
      <w:bookmarkStart w:id="34" w:name="_Ref240354663"/>
      <w:bookmarkStart w:id="35" w:name="_Toc240614515"/>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w:t>
      </w:r>
      <w:r w:rsidRPr="00614EF9">
        <w:rPr>
          <w:color w:val="000000" w:themeColor="text1"/>
          <w:lang w:val="fr-FR"/>
        </w:rPr>
        <w:fldChar w:fldCharType="end"/>
      </w:r>
      <w:r w:rsidRPr="00614EF9">
        <w:rPr>
          <w:color w:val="000000" w:themeColor="text1"/>
          <w:lang w:val="fr-FR"/>
        </w:rPr>
        <w:t xml:space="preserve">: </w:t>
      </w:r>
      <w:bookmarkStart w:id="36" w:name="_Ref240354393"/>
      <w:r w:rsidRPr="00614EF9">
        <w:rPr>
          <w:color w:val="000000" w:themeColor="text1"/>
          <w:lang w:val="fr-FR"/>
        </w:rPr>
        <w:t>Bandes de fréquences concernées par le plan de transition</w:t>
      </w:r>
      <w:bookmarkEnd w:id="34"/>
      <w:bookmarkEnd w:id="35"/>
      <w:bookmarkEnd w:id="36"/>
    </w:p>
    <w:p w14:paraId="4005BE36" w14:textId="77777777" w:rsidR="00133098" w:rsidRPr="00614EF9" w:rsidRDefault="009514E2" w:rsidP="0066730D">
      <w:pPr>
        <w:pStyle w:val="Titre3"/>
        <w:rPr>
          <w:lang w:val="fr-FR"/>
        </w:rPr>
      </w:pPr>
      <w:bookmarkStart w:id="37" w:name="_Toc240614351"/>
      <w:r w:rsidRPr="00614EF9">
        <w:rPr>
          <w:lang w:val="fr-FR"/>
        </w:rPr>
        <w:t>Assignataires concernés</w:t>
      </w:r>
      <w:bookmarkEnd w:id="37"/>
    </w:p>
    <w:p w14:paraId="375EE51A" w14:textId="71B8619C" w:rsidR="003A2650" w:rsidRPr="00614EF9" w:rsidRDefault="009514E2">
      <w:pPr>
        <w:spacing w:before="60"/>
        <w:rPr>
          <w:lang w:val="fr-FR"/>
        </w:rPr>
      </w:pPr>
      <w:r w:rsidRPr="00614EF9">
        <w:rPr>
          <w:lang w:val="fr-FR"/>
        </w:rPr>
        <w:t>Le plan de transition s’applique aux opérateurs de réseaux mobiles attributaires ou candidats aux bandes identifiées pour les IMT</w:t>
      </w:r>
      <w:r w:rsidR="00107B9F" w:rsidRPr="00614EF9">
        <w:rPr>
          <w:lang w:val="fr-FR"/>
        </w:rPr>
        <w:fldChar w:fldCharType="begin"/>
      </w:r>
      <w:r w:rsidR="00107B9F" w:rsidRPr="00614EF9">
        <w:instrText xml:space="preserve"> XE "</w:instrText>
      </w:r>
      <w:proofErr w:type="gramStart"/>
      <w:r w:rsidR="00107B9F" w:rsidRPr="00614EF9">
        <w:rPr>
          <w:lang w:val="fr-FR"/>
        </w:rPr>
        <w:instrText>IMT:</w:instrText>
      </w:r>
      <w:r w:rsidR="00107B9F" w:rsidRPr="00614EF9">
        <w:instrText>Télécommunications</w:instrText>
      </w:r>
      <w:proofErr w:type="gramEnd"/>
      <w:r w:rsidR="00107B9F" w:rsidRPr="00614EF9">
        <w:instrText xml:space="preserve"> mobiles internationales" </w:instrText>
      </w:r>
      <w:r w:rsidR="00107B9F" w:rsidRPr="00614EF9">
        <w:rPr>
          <w:lang w:val="fr-FR"/>
        </w:rPr>
        <w:fldChar w:fldCharType="end"/>
      </w:r>
      <w:r w:rsidRPr="00614EF9">
        <w:rPr>
          <w:lang w:val="fr-FR"/>
        </w:rPr>
        <w:t>, aux fournisseurs d’accès à Internet</w:t>
      </w:r>
      <w:r w:rsidR="00385D13" w:rsidRPr="00614EF9">
        <w:rPr>
          <w:lang w:val="fr-FR"/>
        </w:rPr>
        <w:t xml:space="preserve"> (FAI</w:t>
      </w:r>
      <w:r w:rsidR="00107B9F" w:rsidRPr="00614EF9">
        <w:rPr>
          <w:lang w:val="fr-FR"/>
        </w:rPr>
        <w:fldChar w:fldCharType="begin"/>
      </w:r>
      <w:r w:rsidR="00107B9F" w:rsidRPr="00614EF9">
        <w:instrText xml:space="preserve"> XE "</w:instrText>
      </w:r>
      <w:proofErr w:type="gramStart"/>
      <w:r w:rsidR="00107B9F" w:rsidRPr="00614EF9">
        <w:rPr>
          <w:lang w:val="fr-FR"/>
        </w:rPr>
        <w:instrText>FAI:</w:instrText>
      </w:r>
      <w:r w:rsidR="00107B9F" w:rsidRPr="00614EF9">
        <w:instrText>Fournisseurs</w:instrText>
      </w:r>
      <w:proofErr w:type="gramEnd"/>
      <w:r w:rsidR="00107B9F" w:rsidRPr="00614EF9">
        <w:instrText xml:space="preserve"> d'accès à Internet" </w:instrText>
      </w:r>
      <w:r w:rsidR="00107B9F" w:rsidRPr="00614EF9">
        <w:rPr>
          <w:lang w:val="fr-FR"/>
        </w:rPr>
        <w:fldChar w:fldCharType="end"/>
      </w:r>
      <w:r w:rsidR="00385D13" w:rsidRPr="00614EF9">
        <w:rPr>
          <w:lang w:val="fr-FR"/>
        </w:rPr>
        <w:t>)</w:t>
      </w:r>
      <w:r w:rsidRPr="00614EF9">
        <w:rPr>
          <w:lang w:val="fr-FR"/>
        </w:rPr>
        <w:t xml:space="preserve"> et exploitants de réseaux d’accès hertzien fixe, aux titulaires d’autorisations de radiodiffusion télévisuelle et sonore, ainsi qu’aux exploitants de stations terriennes du service fixe par satellite.</w:t>
      </w:r>
    </w:p>
    <w:p w14:paraId="4E87D4DC" w14:textId="77777777" w:rsidR="00133098" w:rsidRPr="00614EF9" w:rsidRDefault="009514E2" w:rsidP="0066730D">
      <w:pPr>
        <w:pStyle w:val="Titre3"/>
        <w:rPr>
          <w:lang w:val="fr-FR"/>
        </w:rPr>
      </w:pPr>
      <w:bookmarkStart w:id="38" w:name="_Toc240614352"/>
      <w:r w:rsidRPr="00614EF9">
        <w:rPr>
          <w:lang w:val="fr-FR"/>
        </w:rPr>
        <w:t>Portée</w:t>
      </w:r>
      <w:bookmarkEnd w:id="38"/>
    </w:p>
    <w:p w14:paraId="4BFDE186" w14:textId="77777777" w:rsidR="003A2650" w:rsidRPr="00614EF9" w:rsidRDefault="009514E2">
      <w:pPr>
        <w:spacing w:before="60"/>
        <w:rPr>
          <w:lang w:val="fr-FR"/>
        </w:rPr>
      </w:pPr>
      <w:r w:rsidRPr="00614EF9">
        <w:rPr>
          <w:lang w:val="fr-FR"/>
        </w:rPr>
        <w:t>L'année 2026 constitue la phase d’établissement. Les opérations de libération, de migration et de réallocation se déroulent sur la période 2027-2029.</w:t>
      </w:r>
    </w:p>
    <w:p w14:paraId="65C1B735" w14:textId="77777777" w:rsidR="00133098" w:rsidRPr="00614EF9" w:rsidRDefault="009514E2" w:rsidP="0066730D">
      <w:pPr>
        <w:pStyle w:val="Titre3"/>
        <w:rPr>
          <w:lang w:val="fr-FR"/>
        </w:rPr>
      </w:pPr>
      <w:bookmarkStart w:id="39" w:name="_Toc240614353"/>
      <w:r w:rsidRPr="00614EF9">
        <w:rPr>
          <w:lang w:val="fr-FR"/>
        </w:rPr>
        <w:t>Limites</w:t>
      </w:r>
      <w:bookmarkEnd w:id="39"/>
    </w:p>
    <w:p w14:paraId="539E4AD0" w14:textId="77777777" w:rsidR="003A2650" w:rsidRPr="00614EF9" w:rsidRDefault="009514E2">
      <w:pPr>
        <w:spacing w:before="60"/>
        <w:rPr>
          <w:lang w:val="fr-FR"/>
        </w:rPr>
      </w:pPr>
      <w:r w:rsidRPr="00614EF9">
        <w:rPr>
          <w:lang w:val="fr-FR"/>
        </w:rPr>
        <w:t>Le plan de transition ne porte pas sur les bandes dont l'attribution demeure inchangée dans le PNAF, édition 2025.</w:t>
      </w:r>
    </w:p>
    <w:p w14:paraId="7AA8F03D" w14:textId="77777777" w:rsidR="007C757E" w:rsidRPr="00614EF9" w:rsidRDefault="009514E2">
      <w:pPr>
        <w:pStyle w:val="Titre1"/>
        <w:rPr>
          <w:lang w:val="fr-FR"/>
        </w:rPr>
      </w:pPr>
      <w:bookmarkStart w:id="40" w:name="_Toc232062284"/>
      <w:bookmarkStart w:id="41" w:name="_Toc236636361"/>
      <w:bookmarkStart w:id="42" w:name="_Toc240614354"/>
      <w:r w:rsidRPr="00614EF9">
        <w:rPr>
          <w:lang w:val="fr-FR"/>
        </w:rPr>
        <w:t>consultation des parties prenantes</w:t>
      </w:r>
      <w:bookmarkEnd w:id="40"/>
      <w:bookmarkEnd w:id="41"/>
      <w:r w:rsidRPr="00614EF9">
        <w:rPr>
          <w:lang w:val="fr-FR"/>
        </w:rPr>
        <w:t xml:space="preserve"> ET GOUVERNANCE</w:t>
      </w:r>
      <w:bookmarkEnd w:id="42"/>
    </w:p>
    <w:p w14:paraId="3E155CD4" w14:textId="77777777" w:rsidR="00A0202B" w:rsidRPr="00614EF9" w:rsidRDefault="009514E2" w:rsidP="007D4BE4">
      <w:pPr>
        <w:pStyle w:val="Titre2"/>
        <w:rPr>
          <w:lang w:val="fr-FR"/>
        </w:rPr>
      </w:pPr>
      <w:bookmarkStart w:id="43" w:name="_Toc232062287"/>
      <w:bookmarkStart w:id="44" w:name="_Toc236636364"/>
      <w:bookmarkStart w:id="45" w:name="_Toc240614355"/>
      <w:r w:rsidRPr="00614EF9">
        <w:rPr>
          <w:lang w:val="fr-FR"/>
        </w:rPr>
        <w:lastRenderedPageBreak/>
        <w:t>Consultation publique</w:t>
      </w:r>
      <w:bookmarkStart w:id="46" w:name="_Toc232062288"/>
      <w:bookmarkEnd w:id="43"/>
      <w:bookmarkEnd w:id="44"/>
      <w:bookmarkEnd w:id="45"/>
    </w:p>
    <w:p w14:paraId="549716D8" w14:textId="01476D3B" w:rsidR="003A2650" w:rsidRPr="00614EF9" w:rsidRDefault="009514E2">
      <w:pPr>
        <w:spacing w:before="60"/>
        <w:rPr>
          <w:lang w:val="fr-FR"/>
        </w:rPr>
      </w:pPr>
      <w:r w:rsidRPr="00614EF9">
        <w:rPr>
          <w:lang w:val="fr-FR"/>
        </w:rPr>
        <w:t>La loi n°2018-45 du 12 juillet 2018 et le décret n°2020-569 imposent la concertation et la transparence</w:t>
      </w:r>
      <w:r w:rsidR="00385D13" w:rsidRPr="00614EF9">
        <w:rPr>
          <w:lang w:val="fr-FR"/>
        </w:rPr>
        <w:t xml:space="preserve"> pour toute initiative relative à la gestion du spectre</w:t>
      </w:r>
      <w:r w:rsidRPr="00614EF9">
        <w:rPr>
          <w:lang w:val="fr-FR"/>
        </w:rPr>
        <w:t>. L’ARCEP a donc soumis le projet de plan de transition à consultation publique.</w:t>
      </w:r>
    </w:p>
    <w:p w14:paraId="43CEAA52" w14:textId="77777777" w:rsidR="005178AE" w:rsidRPr="00614EF9" w:rsidRDefault="009514E2" w:rsidP="0066730D">
      <w:pPr>
        <w:pStyle w:val="Titre3"/>
        <w:rPr>
          <w:lang w:val="fr-FR"/>
        </w:rPr>
      </w:pPr>
      <w:bookmarkStart w:id="47" w:name="_Toc240614356"/>
      <w:r w:rsidRPr="00614EF9">
        <w:rPr>
          <w:lang w:val="fr-FR"/>
        </w:rPr>
        <w:t>Organisation</w:t>
      </w:r>
      <w:bookmarkEnd w:id="47"/>
    </w:p>
    <w:p w14:paraId="6A68E387" w14:textId="5C99C924" w:rsidR="005178AE" w:rsidRPr="00614EF9" w:rsidRDefault="005178AE">
      <w:pPr>
        <w:spacing w:before="60"/>
        <w:rPr>
          <w:lang w:val="fr-FR"/>
        </w:rPr>
      </w:pPr>
      <w:r w:rsidRPr="00614EF9">
        <w:rPr>
          <w:lang w:val="fr-FR"/>
        </w:rPr>
        <w:t xml:space="preserve">La consultation a été ouverte du 20 juillet au 31 août 2026. Le document soumis comportait quatre sections et soixante-quatorze questions, numérotées Q1 à Q74. Il a été adressé par lettre circulaire aux parties prenantes : institutions, opérateurs, </w:t>
      </w:r>
      <w:r w:rsidR="00385D13" w:rsidRPr="00614EF9">
        <w:rPr>
          <w:lang w:val="fr-FR"/>
        </w:rPr>
        <w:t>FAI</w:t>
      </w:r>
      <w:r w:rsidRPr="00614EF9">
        <w:rPr>
          <w:lang w:val="fr-FR"/>
        </w:rPr>
        <w:t xml:space="preserve"> et industrie.</w:t>
      </w:r>
    </w:p>
    <w:p w14:paraId="54EDA6C8" w14:textId="77777777" w:rsidR="005178AE" w:rsidRPr="00614EF9" w:rsidRDefault="009514E2" w:rsidP="0066730D">
      <w:pPr>
        <w:pStyle w:val="Titre3"/>
        <w:rPr>
          <w:lang w:val="fr-FR"/>
        </w:rPr>
      </w:pPr>
      <w:bookmarkStart w:id="48" w:name="_Toc240614357"/>
      <w:r w:rsidRPr="00614EF9">
        <w:rPr>
          <w:lang w:val="fr-FR"/>
        </w:rPr>
        <w:t>État du dépouillement</w:t>
      </w:r>
      <w:bookmarkEnd w:id="48"/>
    </w:p>
    <w:p w14:paraId="3C242059" w14:textId="68CA2BB4" w:rsidR="00BB7AAA" w:rsidRPr="00614EF9" w:rsidRDefault="009514E2">
      <w:pPr>
        <w:spacing w:before="60"/>
        <w:rPr>
          <w:lang w:val="fr-FR"/>
        </w:rPr>
      </w:pPr>
      <w:r w:rsidRPr="00614EF9">
        <w:rPr>
          <w:lang w:val="fr-FR"/>
        </w:rPr>
        <w:t>Les contributions reçues ont été dépouillées question par question dans une grille. Celle-ci distingue les réponses, les questions déclarées hors périmètre</w:t>
      </w:r>
      <w:r w:rsidR="00385D13" w:rsidRPr="00614EF9">
        <w:rPr>
          <w:lang w:val="fr-FR"/>
        </w:rPr>
        <w:t xml:space="preserve"> </w:t>
      </w:r>
      <w:r w:rsidRPr="00614EF9">
        <w:rPr>
          <w:lang w:val="fr-FR"/>
        </w:rPr>
        <w:t>et les questions restées sans réponse.</w:t>
      </w:r>
    </w:p>
    <w:p w14:paraId="50F9BA11" w14:textId="6E0C0647" w:rsidR="003A2650" w:rsidRPr="00614EF9" w:rsidRDefault="009514E2">
      <w:pPr>
        <w:spacing w:before="60"/>
        <w:rPr>
          <w:lang w:val="fr-FR"/>
        </w:rPr>
      </w:pPr>
      <w:r w:rsidRPr="00614EF9">
        <w:rPr>
          <w:lang w:val="fr-FR"/>
        </w:rPr>
        <w:t xml:space="preserve">Huit contributions ont été enregistrées, totalisant 273 réponses substantielles. La liste des contributions reçues est indiquée par le </w:t>
      </w:r>
      <w:r w:rsidRPr="00614EF9">
        <w:rPr>
          <w:lang w:val="fr-FR"/>
        </w:rPr>
        <w:fldChar w:fldCharType="begin"/>
      </w:r>
      <w:r w:rsidRPr="00614EF9">
        <w:rPr>
          <w:lang w:val="fr-FR"/>
        </w:rPr>
        <w:instrText xml:space="preserve"> REF _Ref240354416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2</w:t>
      </w:r>
      <w:r w:rsidR="007A7843" w:rsidRPr="00614EF9">
        <w:rPr>
          <w:color w:val="000000" w:themeColor="text1"/>
          <w:lang w:val="fr-FR"/>
        </w:rPr>
        <w:t xml:space="preserve"> </w:t>
      </w:r>
      <w:r w:rsidRPr="00614EF9">
        <w:rPr>
          <w:lang w:val="fr-FR"/>
        </w:rPr>
        <w:fldChar w:fldCharType="end"/>
      </w:r>
      <w:r w:rsidR="00385D13" w:rsidRPr="00614EF9">
        <w:rPr>
          <w:lang w:val="fr-FR"/>
        </w:rPr>
        <w:t xml:space="preserve"> ci-dessous.</w:t>
      </w:r>
    </w:p>
    <w:tbl>
      <w:tblPr>
        <w:tblStyle w:val="TableauGrille4-Accentuation3"/>
        <w:tblW w:w="9638" w:type="dxa"/>
        <w:jc w:val="center"/>
        <w:tblLayout w:type="fixed"/>
        <w:tblLook w:val="04A0" w:firstRow="1" w:lastRow="0" w:firstColumn="1" w:lastColumn="0" w:noHBand="0" w:noVBand="1"/>
      </w:tblPr>
      <w:tblGrid>
        <w:gridCol w:w="2400"/>
        <w:gridCol w:w="2982"/>
        <w:gridCol w:w="3118"/>
        <w:gridCol w:w="1138"/>
      </w:tblGrid>
      <w:tr w:rsidR="00001329" w:rsidRPr="00614EF9" w14:paraId="0595C44A" w14:textId="77777777" w:rsidTr="0099035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1763FFCF" w14:textId="77777777" w:rsidR="00001329" w:rsidRPr="00614EF9" w:rsidRDefault="009514E2">
            <w:pPr>
              <w:spacing w:before="20" w:after="20"/>
              <w:rPr>
                <w:lang w:val="fr-FR"/>
              </w:rPr>
            </w:pPr>
            <w:r w:rsidRPr="00614EF9">
              <w:rPr>
                <w:color w:val="FFFFFF"/>
                <w:sz w:val="18"/>
                <w:szCs w:val="18"/>
                <w:lang w:val="fr-FR"/>
              </w:rPr>
              <w:t>Contributeur</w:t>
            </w:r>
          </w:p>
        </w:tc>
        <w:tc>
          <w:tcPr>
            <w:tcW w:w="2982" w:type="dxa"/>
            <w:tcMar>
              <w:top w:w="40" w:type="dxa"/>
              <w:bottom w:w="40" w:type="dxa"/>
            </w:tcMar>
          </w:tcPr>
          <w:p w14:paraId="725975AC"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Qualité déclarée</w:t>
            </w:r>
          </w:p>
        </w:tc>
        <w:tc>
          <w:tcPr>
            <w:tcW w:w="3118" w:type="dxa"/>
            <w:tcMar>
              <w:top w:w="40" w:type="dxa"/>
              <w:bottom w:w="40" w:type="dxa"/>
            </w:tcMar>
          </w:tcPr>
          <w:p w14:paraId="6D0440A4"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Volets concernés</w:t>
            </w:r>
          </w:p>
        </w:tc>
        <w:tc>
          <w:tcPr>
            <w:tcW w:w="1138" w:type="dxa"/>
            <w:tcMar>
              <w:top w:w="40" w:type="dxa"/>
              <w:bottom w:w="40" w:type="dxa"/>
            </w:tcMar>
          </w:tcPr>
          <w:p w14:paraId="5730C8D7"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Réponses</w:t>
            </w:r>
          </w:p>
        </w:tc>
      </w:tr>
      <w:tr w:rsidR="00001329" w:rsidRPr="00614EF9" w14:paraId="5922E322"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D97F8BD" w14:textId="29861C88" w:rsidR="00001329" w:rsidRPr="00614EF9" w:rsidRDefault="00961FE4">
            <w:pPr>
              <w:spacing w:before="20" w:after="20"/>
              <w:rPr>
                <w:b w:val="0"/>
                <w:bCs w:val="0"/>
                <w:lang w:val="fr-FR"/>
              </w:rPr>
            </w:pPr>
            <w:r w:rsidRPr="00614EF9">
              <w:rPr>
                <w:b w:val="0"/>
                <w:bCs w:val="0"/>
                <w:sz w:val="18"/>
                <w:szCs w:val="18"/>
                <w:lang w:val="fr-FR"/>
              </w:rPr>
              <w:t>TELEDIFFUSION DU NIGER (TDN</w:t>
            </w:r>
            <w:r w:rsidR="00107B9F" w:rsidRPr="00614EF9">
              <w:rPr>
                <w:sz w:val="18"/>
                <w:szCs w:val="18"/>
                <w:lang w:val="fr-FR"/>
              </w:rPr>
              <w:fldChar w:fldCharType="begin"/>
            </w:r>
            <w:r w:rsidR="00107B9F" w:rsidRPr="00614EF9">
              <w:instrText xml:space="preserve"> XE "</w:instrText>
            </w:r>
            <w:proofErr w:type="gramStart"/>
            <w:r w:rsidR="00107B9F" w:rsidRPr="00614EF9">
              <w:rPr>
                <w:b w:val="0"/>
                <w:bCs w:val="0"/>
                <w:sz w:val="18"/>
                <w:szCs w:val="18"/>
                <w:lang w:val="fr-FR"/>
              </w:rPr>
              <w:instrText>TDN</w:instrText>
            </w:r>
            <w:r w:rsidR="00107B9F" w:rsidRPr="00614EF9">
              <w:rPr>
                <w:sz w:val="18"/>
                <w:szCs w:val="18"/>
                <w:lang w:val="fr-FR"/>
              </w:rPr>
              <w:instrText>:</w:instrText>
            </w:r>
            <w:r w:rsidR="00107B9F" w:rsidRPr="00614EF9">
              <w:instrText>Télédiffusion</w:instrText>
            </w:r>
            <w:proofErr w:type="gramEnd"/>
            <w:r w:rsidR="00107B9F" w:rsidRPr="00614EF9">
              <w:instrText xml:space="preserve"> du Niger" </w:instrText>
            </w:r>
            <w:r w:rsidR="00107B9F" w:rsidRPr="00614EF9">
              <w:rPr>
                <w:sz w:val="18"/>
                <w:szCs w:val="18"/>
                <w:lang w:val="fr-FR"/>
              </w:rPr>
              <w:fldChar w:fldCharType="end"/>
            </w:r>
            <w:r w:rsidRPr="00614EF9">
              <w:rPr>
                <w:b w:val="0"/>
                <w:bCs w:val="0"/>
                <w:sz w:val="18"/>
                <w:szCs w:val="18"/>
                <w:lang w:val="fr-FR"/>
              </w:rPr>
              <w:t>)</w:t>
            </w:r>
          </w:p>
        </w:tc>
        <w:tc>
          <w:tcPr>
            <w:tcW w:w="2982" w:type="dxa"/>
            <w:tcMar>
              <w:top w:w="40" w:type="dxa"/>
              <w:bottom w:w="40" w:type="dxa"/>
            </w:tcMar>
          </w:tcPr>
          <w:p w14:paraId="2A2E4ACB"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Radiodiffuseur télévisuel et sonore</w:t>
            </w:r>
          </w:p>
        </w:tc>
        <w:tc>
          <w:tcPr>
            <w:tcW w:w="3118" w:type="dxa"/>
            <w:tcMar>
              <w:top w:w="40" w:type="dxa"/>
              <w:bottom w:w="40" w:type="dxa"/>
            </w:tcMar>
          </w:tcPr>
          <w:p w14:paraId="4CF8294F"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600 MHz, 700 MHz, Bande C</w:t>
            </w:r>
          </w:p>
        </w:tc>
        <w:tc>
          <w:tcPr>
            <w:tcW w:w="1138" w:type="dxa"/>
            <w:tcMar>
              <w:top w:w="40" w:type="dxa"/>
              <w:bottom w:w="40" w:type="dxa"/>
            </w:tcMar>
          </w:tcPr>
          <w:p w14:paraId="67559430" w14:textId="77777777" w:rsidR="00001329"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44</w:t>
            </w:r>
          </w:p>
        </w:tc>
      </w:tr>
      <w:tr w:rsidR="00001329" w:rsidRPr="00614EF9" w14:paraId="4DEB3FF1"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2A706632" w14:textId="62C95140" w:rsidR="00001329" w:rsidRPr="00614EF9" w:rsidRDefault="00961FE4">
            <w:pPr>
              <w:spacing w:before="20" w:after="20"/>
              <w:rPr>
                <w:b w:val="0"/>
                <w:bCs w:val="0"/>
                <w:lang w:val="fr-FR"/>
              </w:rPr>
            </w:pPr>
            <w:r w:rsidRPr="00614EF9">
              <w:rPr>
                <w:b w:val="0"/>
                <w:bCs w:val="0"/>
                <w:sz w:val="18"/>
                <w:szCs w:val="18"/>
                <w:lang w:val="fr-FR"/>
              </w:rPr>
              <w:t>LIPTINFOR NIGER</w:t>
            </w:r>
          </w:p>
        </w:tc>
        <w:tc>
          <w:tcPr>
            <w:tcW w:w="2982" w:type="dxa"/>
            <w:tcMar>
              <w:top w:w="40" w:type="dxa"/>
              <w:bottom w:w="40" w:type="dxa"/>
            </w:tcMar>
          </w:tcPr>
          <w:p w14:paraId="350D53A6"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Fournisseur d'accès à Internet</w:t>
            </w:r>
          </w:p>
        </w:tc>
        <w:tc>
          <w:tcPr>
            <w:tcW w:w="3118" w:type="dxa"/>
            <w:tcMar>
              <w:top w:w="40" w:type="dxa"/>
              <w:bottom w:w="40" w:type="dxa"/>
            </w:tcMar>
          </w:tcPr>
          <w:p w14:paraId="5B4EC5B8"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FWA 2,4/5 GHz et Bande C</w:t>
            </w:r>
          </w:p>
        </w:tc>
        <w:tc>
          <w:tcPr>
            <w:tcW w:w="1138" w:type="dxa"/>
            <w:tcMar>
              <w:top w:w="40" w:type="dxa"/>
              <w:bottom w:w="40" w:type="dxa"/>
            </w:tcMar>
          </w:tcPr>
          <w:p w14:paraId="78040972" w14:textId="77777777" w:rsidR="00001329"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50</w:t>
            </w:r>
          </w:p>
        </w:tc>
      </w:tr>
      <w:tr w:rsidR="00001329" w:rsidRPr="00614EF9" w14:paraId="649AADF4"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500DF2F" w14:textId="6A83FFDD" w:rsidR="00001329" w:rsidRPr="00614EF9" w:rsidRDefault="00961FE4">
            <w:pPr>
              <w:spacing w:before="20" w:after="20"/>
              <w:rPr>
                <w:b w:val="0"/>
                <w:bCs w:val="0"/>
                <w:lang w:val="fr-FR"/>
              </w:rPr>
            </w:pPr>
            <w:r w:rsidRPr="00614EF9">
              <w:rPr>
                <w:b w:val="0"/>
                <w:bCs w:val="0"/>
                <w:sz w:val="18"/>
                <w:szCs w:val="18"/>
                <w:lang w:val="fr-FR"/>
              </w:rPr>
              <w:t>CELTEL NIGER</w:t>
            </w:r>
          </w:p>
        </w:tc>
        <w:tc>
          <w:tcPr>
            <w:tcW w:w="2982" w:type="dxa"/>
            <w:tcMar>
              <w:top w:w="40" w:type="dxa"/>
              <w:bottom w:w="40" w:type="dxa"/>
            </w:tcMar>
          </w:tcPr>
          <w:p w14:paraId="1D7EF7BA"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Opérateur mobile</w:t>
            </w:r>
          </w:p>
        </w:tc>
        <w:tc>
          <w:tcPr>
            <w:tcW w:w="3118" w:type="dxa"/>
            <w:tcMar>
              <w:top w:w="40" w:type="dxa"/>
              <w:bottom w:w="40" w:type="dxa"/>
            </w:tcMar>
          </w:tcPr>
          <w:p w14:paraId="2AF25265"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700 MHz, Bande C, stations terriennes</w:t>
            </w:r>
          </w:p>
        </w:tc>
        <w:tc>
          <w:tcPr>
            <w:tcW w:w="1138" w:type="dxa"/>
            <w:tcMar>
              <w:top w:w="40" w:type="dxa"/>
              <w:bottom w:w="40" w:type="dxa"/>
            </w:tcMar>
          </w:tcPr>
          <w:p w14:paraId="2D4FAC88" w14:textId="77777777" w:rsidR="00001329"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51</w:t>
            </w:r>
          </w:p>
        </w:tc>
      </w:tr>
      <w:tr w:rsidR="00001329" w:rsidRPr="00614EF9" w14:paraId="197375EF"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1D104D99" w14:textId="290CAC27" w:rsidR="00001329" w:rsidRPr="00614EF9" w:rsidRDefault="00961FE4">
            <w:pPr>
              <w:spacing w:before="20" w:after="20"/>
              <w:rPr>
                <w:b w:val="0"/>
                <w:bCs w:val="0"/>
                <w:lang w:val="fr-FR"/>
              </w:rPr>
            </w:pPr>
            <w:r w:rsidRPr="00614EF9">
              <w:rPr>
                <w:b w:val="0"/>
                <w:bCs w:val="0"/>
                <w:sz w:val="18"/>
                <w:szCs w:val="18"/>
                <w:lang w:val="fr-FR"/>
              </w:rPr>
              <w:t>MOOV AFRICA NIGER</w:t>
            </w:r>
          </w:p>
        </w:tc>
        <w:tc>
          <w:tcPr>
            <w:tcW w:w="2982" w:type="dxa"/>
            <w:tcMar>
              <w:top w:w="40" w:type="dxa"/>
              <w:bottom w:w="40" w:type="dxa"/>
            </w:tcMar>
          </w:tcPr>
          <w:p w14:paraId="157DA5E6"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Opérateur mobile</w:t>
            </w:r>
          </w:p>
        </w:tc>
        <w:tc>
          <w:tcPr>
            <w:tcW w:w="3118" w:type="dxa"/>
            <w:tcMar>
              <w:top w:w="40" w:type="dxa"/>
              <w:bottom w:w="40" w:type="dxa"/>
            </w:tcMar>
          </w:tcPr>
          <w:p w14:paraId="10522EB1"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600 MHz, 700 MHz, Bande C, stations terriennes</w:t>
            </w:r>
          </w:p>
        </w:tc>
        <w:tc>
          <w:tcPr>
            <w:tcW w:w="1138" w:type="dxa"/>
            <w:tcMar>
              <w:top w:w="40" w:type="dxa"/>
              <w:bottom w:w="40" w:type="dxa"/>
            </w:tcMar>
          </w:tcPr>
          <w:p w14:paraId="3BD5F060" w14:textId="77777777" w:rsidR="00001329"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48</w:t>
            </w:r>
          </w:p>
        </w:tc>
      </w:tr>
      <w:tr w:rsidR="00001329" w:rsidRPr="00614EF9" w14:paraId="559223EA"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7D800A3E" w14:textId="7617B339" w:rsidR="00001329" w:rsidRPr="00614EF9" w:rsidRDefault="00961FE4">
            <w:pPr>
              <w:spacing w:before="20" w:after="20"/>
              <w:rPr>
                <w:b w:val="0"/>
                <w:bCs w:val="0"/>
                <w:lang w:val="fr-FR"/>
              </w:rPr>
            </w:pPr>
            <w:r w:rsidRPr="00614EF9">
              <w:rPr>
                <w:b w:val="0"/>
                <w:bCs w:val="0"/>
                <w:sz w:val="18"/>
                <w:szCs w:val="18"/>
                <w:lang w:val="fr-FR"/>
              </w:rPr>
              <w:t>NIGER TELECOMS</w:t>
            </w:r>
          </w:p>
        </w:tc>
        <w:tc>
          <w:tcPr>
            <w:tcW w:w="2982" w:type="dxa"/>
            <w:tcMar>
              <w:top w:w="40" w:type="dxa"/>
              <w:bottom w:w="40" w:type="dxa"/>
            </w:tcMar>
          </w:tcPr>
          <w:p w14:paraId="3415E41C"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Opérateur mobile</w:t>
            </w:r>
          </w:p>
        </w:tc>
        <w:tc>
          <w:tcPr>
            <w:tcW w:w="3118" w:type="dxa"/>
            <w:tcMar>
              <w:top w:w="40" w:type="dxa"/>
              <w:bottom w:w="40" w:type="dxa"/>
            </w:tcMar>
          </w:tcPr>
          <w:p w14:paraId="46DCDC1D"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600 MHz et Bande C </w:t>
            </w:r>
          </w:p>
        </w:tc>
        <w:tc>
          <w:tcPr>
            <w:tcW w:w="1138" w:type="dxa"/>
            <w:tcMar>
              <w:top w:w="40" w:type="dxa"/>
              <w:bottom w:w="40" w:type="dxa"/>
            </w:tcMar>
          </w:tcPr>
          <w:p w14:paraId="21F52B7D" w14:textId="77777777" w:rsidR="00001329"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16</w:t>
            </w:r>
          </w:p>
        </w:tc>
      </w:tr>
      <w:tr w:rsidR="00001329" w:rsidRPr="00614EF9" w14:paraId="10805ABB"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6278A91D" w14:textId="65D1D0F7" w:rsidR="00001329" w:rsidRPr="00614EF9" w:rsidRDefault="00961FE4">
            <w:pPr>
              <w:spacing w:before="20" w:after="20"/>
              <w:rPr>
                <w:b w:val="0"/>
                <w:bCs w:val="0"/>
                <w:lang w:val="fr-FR"/>
              </w:rPr>
            </w:pPr>
            <w:r w:rsidRPr="00614EF9">
              <w:rPr>
                <w:b w:val="0"/>
                <w:bCs w:val="0"/>
                <w:sz w:val="18"/>
                <w:szCs w:val="18"/>
                <w:lang w:val="fr-FR"/>
              </w:rPr>
              <w:t>ATC NIGER</w:t>
            </w:r>
          </w:p>
        </w:tc>
        <w:tc>
          <w:tcPr>
            <w:tcW w:w="2982" w:type="dxa"/>
            <w:tcMar>
              <w:top w:w="40" w:type="dxa"/>
              <w:bottom w:w="40" w:type="dxa"/>
            </w:tcMar>
          </w:tcPr>
          <w:p w14:paraId="49FCA6F5"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Opérateur d'infrastructures passives</w:t>
            </w:r>
          </w:p>
        </w:tc>
        <w:tc>
          <w:tcPr>
            <w:tcW w:w="3118" w:type="dxa"/>
            <w:tcMar>
              <w:top w:w="40" w:type="dxa"/>
              <w:bottom w:w="40" w:type="dxa"/>
            </w:tcMar>
          </w:tcPr>
          <w:p w14:paraId="7C9DF4A5" w14:textId="77777777" w:rsidR="00001329" w:rsidRPr="00614EF9" w:rsidRDefault="009514E2" w:rsidP="005178AE">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Aucun volet en propre</w:t>
            </w:r>
          </w:p>
        </w:tc>
        <w:tc>
          <w:tcPr>
            <w:tcW w:w="1138" w:type="dxa"/>
            <w:tcMar>
              <w:top w:w="40" w:type="dxa"/>
              <w:bottom w:w="40" w:type="dxa"/>
            </w:tcMar>
          </w:tcPr>
          <w:p w14:paraId="52BF5082" w14:textId="77777777" w:rsidR="00001329"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28</w:t>
            </w:r>
          </w:p>
        </w:tc>
      </w:tr>
      <w:tr w:rsidR="00001329" w:rsidRPr="00614EF9" w14:paraId="69DFF0A7"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272560B2" w14:textId="6B96A8FE" w:rsidR="00001329" w:rsidRPr="00614EF9" w:rsidRDefault="00961FE4">
            <w:pPr>
              <w:spacing w:before="20" w:after="20"/>
              <w:rPr>
                <w:b w:val="0"/>
                <w:bCs w:val="0"/>
                <w:lang w:val="fr-FR"/>
              </w:rPr>
            </w:pPr>
            <w:r w:rsidRPr="00614EF9">
              <w:rPr>
                <w:b w:val="0"/>
                <w:bCs w:val="0"/>
                <w:sz w:val="18"/>
                <w:szCs w:val="18"/>
                <w:lang w:val="fr-FR"/>
              </w:rPr>
              <w:t>AFR-IX TELECOM NIGER</w:t>
            </w:r>
          </w:p>
        </w:tc>
        <w:tc>
          <w:tcPr>
            <w:tcW w:w="2982" w:type="dxa"/>
            <w:tcMar>
              <w:top w:w="40" w:type="dxa"/>
              <w:bottom w:w="40" w:type="dxa"/>
            </w:tcMar>
          </w:tcPr>
          <w:p w14:paraId="5FFB5F4F"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Fournisseur d'accès à Internet</w:t>
            </w:r>
          </w:p>
        </w:tc>
        <w:tc>
          <w:tcPr>
            <w:tcW w:w="3118" w:type="dxa"/>
            <w:tcMar>
              <w:top w:w="40" w:type="dxa"/>
              <w:bottom w:w="40" w:type="dxa"/>
            </w:tcMar>
          </w:tcPr>
          <w:p w14:paraId="498440F3" w14:textId="77777777" w:rsidR="00001329" w:rsidRPr="00614EF9" w:rsidRDefault="009514E2" w:rsidP="005178AE">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FWA 2,4/5 GHz et Bande C</w:t>
            </w:r>
          </w:p>
        </w:tc>
        <w:tc>
          <w:tcPr>
            <w:tcW w:w="1138" w:type="dxa"/>
            <w:tcMar>
              <w:top w:w="40" w:type="dxa"/>
              <w:bottom w:w="40" w:type="dxa"/>
            </w:tcMar>
          </w:tcPr>
          <w:p w14:paraId="71BC8FA7" w14:textId="77777777" w:rsidR="00001329"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29</w:t>
            </w:r>
          </w:p>
        </w:tc>
      </w:tr>
      <w:tr w:rsidR="005178AE" w:rsidRPr="00614EF9" w14:paraId="08A5E6F7"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4F202197" w14:textId="2C2467C5" w:rsidR="005178AE" w:rsidRPr="00614EF9" w:rsidRDefault="00961FE4">
            <w:pPr>
              <w:spacing w:before="20" w:after="20"/>
              <w:rPr>
                <w:b w:val="0"/>
                <w:bCs w:val="0"/>
                <w:sz w:val="18"/>
                <w:szCs w:val="18"/>
                <w:lang w:val="fr-FR"/>
              </w:rPr>
            </w:pPr>
            <w:r w:rsidRPr="00614EF9">
              <w:rPr>
                <w:b w:val="0"/>
                <w:bCs w:val="0"/>
                <w:sz w:val="18"/>
                <w:szCs w:val="18"/>
                <w:lang w:val="fr-FR"/>
              </w:rPr>
              <w:t>DYNAMIC SPECTRUM ALLIANCE (DSA</w:t>
            </w:r>
            <w:r w:rsidR="009209BA" w:rsidRPr="00614EF9">
              <w:rPr>
                <w:sz w:val="18"/>
                <w:szCs w:val="18"/>
                <w:lang w:val="fr-FR"/>
              </w:rPr>
              <w:fldChar w:fldCharType="begin"/>
            </w:r>
            <w:r w:rsidR="009209BA" w:rsidRPr="00614EF9">
              <w:instrText xml:space="preserve"> XE "</w:instrText>
            </w:r>
            <w:proofErr w:type="gramStart"/>
            <w:r w:rsidR="009209BA" w:rsidRPr="00614EF9">
              <w:rPr>
                <w:b w:val="0"/>
                <w:bCs w:val="0"/>
                <w:sz w:val="18"/>
                <w:szCs w:val="18"/>
                <w:lang w:val="fr-FR"/>
              </w:rPr>
              <w:instrText>DSA:</w:instrText>
            </w:r>
            <w:r w:rsidR="009209BA" w:rsidRPr="00614EF9">
              <w:instrText>Dynamic</w:instrText>
            </w:r>
            <w:proofErr w:type="gramEnd"/>
            <w:r w:rsidR="009209BA" w:rsidRPr="00614EF9">
              <w:instrText xml:space="preserve"> Spectrum Alliance" </w:instrText>
            </w:r>
            <w:r w:rsidR="009209BA" w:rsidRPr="00614EF9">
              <w:rPr>
                <w:sz w:val="18"/>
                <w:szCs w:val="18"/>
                <w:lang w:val="fr-FR"/>
              </w:rPr>
              <w:fldChar w:fldCharType="end"/>
            </w:r>
            <w:r w:rsidRPr="00614EF9">
              <w:rPr>
                <w:b w:val="0"/>
                <w:bCs w:val="0"/>
                <w:sz w:val="18"/>
                <w:szCs w:val="18"/>
                <w:lang w:val="fr-FR"/>
              </w:rPr>
              <w:t>)</w:t>
            </w:r>
          </w:p>
        </w:tc>
        <w:tc>
          <w:tcPr>
            <w:tcW w:w="2982" w:type="dxa"/>
            <w:tcMar>
              <w:top w:w="40" w:type="dxa"/>
              <w:bottom w:w="40" w:type="dxa"/>
            </w:tcMar>
          </w:tcPr>
          <w:p w14:paraId="1EB57F6A" w14:textId="77777777" w:rsidR="005178AE" w:rsidRPr="00614EF9" w:rsidRDefault="005178AE" w:rsidP="005178AE">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Association internationale de politique du spectre</w:t>
            </w:r>
          </w:p>
        </w:tc>
        <w:tc>
          <w:tcPr>
            <w:tcW w:w="3118" w:type="dxa"/>
            <w:tcMar>
              <w:top w:w="40" w:type="dxa"/>
              <w:bottom w:w="40" w:type="dxa"/>
            </w:tcMar>
          </w:tcPr>
          <w:p w14:paraId="33E5CC04" w14:textId="7828EAD0" w:rsidR="005178AE" w:rsidRPr="00614EF9" w:rsidRDefault="005178AE" w:rsidP="005178AE">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Volet 6 GHz</w:t>
            </w:r>
            <w:r w:rsidR="00107B9F" w:rsidRPr="00614EF9">
              <w:rPr>
                <w:sz w:val="18"/>
                <w:szCs w:val="18"/>
                <w:lang w:val="fr-FR"/>
              </w:rPr>
              <w:fldChar w:fldCharType="begin"/>
            </w:r>
            <w:r w:rsidR="00107B9F" w:rsidRPr="00614EF9">
              <w:instrText xml:space="preserve"> XE "</w:instrText>
            </w:r>
            <w:proofErr w:type="gramStart"/>
            <w:r w:rsidR="00107B9F" w:rsidRPr="00614EF9">
              <w:rPr>
                <w:sz w:val="18"/>
                <w:szCs w:val="18"/>
                <w:lang w:val="fr-FR"/>
              </w:rPr>
              <w:instrText>GHz:</w:instrText>
            </w:r>
            <w:r w:rsidR="00107B9F" w:rsidRPr="00614EF9">
              <w:instrText>Giga</w:instrText>
            </w:r>
            <w:proofErr w:type="gramEnd"/>
            <w:r w:rsidR="00107B9F" w:rsidRPr="00614EF9">
              <w:instrText xml:space="preserve"> Hertz" </w:instrText>
            </w:r>
            <w:r w:rsidR="00107B9F" w:rsidRPr="00614EF9">
              <w:rPr>
                <w:sz w:val="18"/>
                <w:szCs w:val="18"/>
                <w:lang w:val="fr-FR"/>
              </w:rPr>
              <w:fldChar w:fldCharType="end"/>
            </w:r>
            <w:r w:rsidR="00BF016F" w:rsidRPr="00614EF9">
              <w:rPr>
                <w:sz w:val="18"/>
                <w:szCs w:val="18"/>
                <w:lang w:val="fr-FR"/>
              </w:rPr>
              <w:t xml:space="preserve"> Low</w:t>
            </w:r>
            <w:r w:rsidRPr="00614EF9">
              <w:rPr>
                <w:sz w:val="18"/>
                <w:szCs w:val="18"/>
                <w:lang w:val="fr-FR"/>
              </w:rPr>
              <w:t xml:space="preserve"> — modèle d'accès au spectre</w:t>
            </w:r>
          </w:p>
        </w:tc>
        <w:tc>
          <w:tcPr>
            <w:tcW w:w="1138" w:type="dxa"/>
            <w:tcMar>
              <w:top w:w="40" w:type="dxa"/>
              <w:bottom w:w="40" w:type="dxa"/>
            </w:tcMar>
          </w:tcPr>
          <w:p w14:paraId="11D08C60" w14:textId="77777777" w:rsidR="005178AE" w:rsidRPr="00614EF9" w:rsidRDefault="005178AE">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7</w:t>
            </w:r>
          </w:p>
        </w:tc>
      </w:tr>
    </w:tbl>
    <w:p w14:paraId="5F9A4C06" w14:textId="77777777" w:rsidR="005178AE" w:rsidRPr="00614EF9" w:rsidRDefault="005178AE" w:rsidP="005178AE">
      <w:pPr>
        <w:pStyle w:val="Lgende"/>
        <w:spacing w:before="120" w:after="120"/>
        <w:rPr>
          <w:color w:val="000000" w:themeColor="text1"/>
          <w:lang w:val="fr-FR"/>
        </w:rPr>
      </w:pPr>
      <w:bookmarkStart w:id="49" w:name="_Ref240354416"/>
      <w:bookmarkStart w:id="50" w:name="_Toc240614516"/>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w:t>
      </w:r>
      <w:r w:rsidRPr="00614EF9">
        <w:rPr>
          <w:color w:val="000000" w:themeColor="text1"/>
          <w:lang w:val="fr-FR"/>
        </w:rPr>
        <w:fldChar w:fldCharType="end"/>
      </w:r>
      <w:r w:rsidRPr="00614EF9">
        <w:rPr>
          <w:color w:val="000000" w:themeColor="text1"/>
          <w:lang w:val="fr-FR"/>
        </w:rPr>
        <w:t>: Liste des contributions reçues</w:t>
      </w:r>
      <w:bookmarkEnd w:id="49"/>
      <w:bookmarkEnd w:id="50"/>
    </w:p>
    <w:p w14:paraId="3D636828" w14:textId="3CE20A64" w:rsidR="00A42CB6" w:rsidRDefault="00961FE4" w:rsidP="00A42CB6">
      <w:pPr>
        <w:rPr>
          <w:lang w:val="fr-FR"/>
        </w:rPr>
      </w:pPr>
      <w:r>
        <w:rPr>
          <w:lang w:val="fr-FR"/>
        </w:rPr>
        <w:t>TÉ</w:t>
      </w:r>
      <w:r w:rsidRPr="00614EF9">
        <w:rPr>
          <w:lang w:val="fr-FR"/>
        </w:rPr>
        <w:t>L</w:t>
      </w:r>
      <w:r>
        <w:rPr>
          <w:lang w:val="fr-FR"/>
        </w:rPr>
        <w:t>É</w:t>
      </w:r>
      <w:r w:rsidRPr="00614EF9">
        <w:rPr>
          <w:lang w:val="fr-FR"/>
        </w:rPr>
        <w:t>STAR</w:t>
      </w:r>
      <w:r w:rsidR="00F70DF8" w:rsidRPr="00614EF9">
        <w:rPr>
          <w:lang w:val="fr-FR"/>
        </w:rPr>
        <w:t>, opérateur de télédiffusion, n’a pas contribué. L’inventaire de la radiodiffusion télévisuelle demeure donc incomplet.</w:t>
      </w:r>
    </w:p>
    <w:p w14:paraId="39F28540" w14:textId="68DCBA8B" w:rsidR="006E4999" w:rsidRPr="00614EF9" w:rsidRDefault="006E4999" w:rsidP="00A42CB6">
      <w:pPr>
        <w:rPr>
          <w:lang w:val="fr-FR"/>
        </w:rPr>
      </w:pPr>
      <w:r>
        <w:rPr>
          <w:lang w:val="fr-FR"/>
        </w:rPr>
        <w:t>ZAMANI COM S.A.S., opérateur de communications électroniques, n’a pas contribué. L’inventaire des utilisations du service fixe en bande 3,5 GHz demeure incomplet.</w:t>
      </w:r>
    </w:p>
    <w:p w14:paraId="299FA88A" w14:textId="77777777" w:rsidR="00BB7AAA" w:rsidRPr="00614EF9" w:rsidRDefault="009514E2" w:rsidP="0066730D">
      <w:pPr>
        <w:pStyle w:val="Titre3"/>
        <w:rPr>
          <w:lang w:val="fr-FR"/>
        </w:rPr>
      </w:pPr>
      <w:bookmarkStart w:id="51" w:name="_Toc240614358"/>
      <w:r w:rsidRPr="00614EF9">
        <w:rPr>
          <w:lang w:val="fr-FR"/>
        </w:rPr>
        <w:t>Portée des conclusions</w:t>
      </w:r>
      <w:bookmarkEnd w:id="51"/>
    </w:p>
    <w:p w14:paraId="6D118016" w14:textId="77777777" w:rsidR="00A42CB6" w:rsidRPr="00614EF9" w:rsidRDefault="009514E2">
      <w:pPr>
        <w:spacing w:before="60"/>
        <w:rPr>
          <w:lang w:val="fr-FR"/>
        </w:rPr>
      </w:pPr>
      <w:r w:rsidRPr="00614EF9">
        <w:rPr>
          <w:lang w:val="fr-FR"/>
        </w:rPr>
        <w:lastRenderedPageBreak/>
        <w:t xml:space="preserve">Les constats, évaluations financières et orientations exposés dans les sections qui suivent procèdent de l’analyse et de l’exploitation de l'ensemble de ces contributions. </w:t>
      </w:r>
    </w:p>
    <w:p w14:paraId="536BB08C" w14:textId="77777777" w:rsidR="003A2650" w:rsidRPr="00614EF9" w:rsidRDefault="009514E2">
      <w:pPr>
        <w:spacing w:before="60"/>
        <w:rPr>
          <w:lang w:val="fr-FR"/>
        </w:rPr>
      </w:pPr>
      <w:r w:rsidRPr="00614EF9">
        <w:rPr>
          <w:lang w:val="fr-FR"/>
        </w:rPr>
        <w:t>Une synthèse générale des contributions est publiée et annexée au plan définitif.</w:t>
      </w:r>
    </w:p>
    <w:p w14:paraId="6560BB8E" w14:textId="77777777" w:rsidR="00B5578B" w:rsidRPr="00614EF9" w:rsidRDefault="00B5578B" w:rsidP="007D4BE4">
      <w:pPr>
        <w:pStyle w:val="Titre2"/>
        <w:rPr>
          <w:lang w:val="fr-FR"/>
        </w:rPr>
      </w:pPr>
      <w:bookmarkStart w:id="52" w:name="_Toc240614359"/>
      <w:r w:rsidRPr="00614EF9">
        <w:rPr>
          <w:lang w:val="fr-FR"/>
        </w:rPr>
        <w:t>Gouvernance</w:t>
      </w:r>
      <w:bookmarkEnd w:id="52"/>
    </w:p>
    <w:p w14:paraId="4B08287A" w14:textId="77777777" w:rsidR="00B5578B" w:rsidRPr="00614EF9" w:rsidRDefault="00B5578B" w:rsidP="0066730D">
      <w:pPr>
        <w:pStyle w:val="Titre3"/>
        <w:rPr>
          <w:lang w:val="fr-FR"/>
        </w:rPr>
      </w:pPr>
      <w:bookmarkStart w:id="53" w:name="_Toc232062285"/>
      <w:bookmarkStart w:id="54" w:name="_Toc236636362"/>
      <w:bookmarkStart w:id="55" w:name="_Toc240614360"/>
      <w:r w:rsidRPr="00614EF9">
        <w:rPr>
          <w:lang w:val="fr-FR"/>
        </w:rPr>
        <w:t>Comité de pilotage</w:t>
      </w:r>
      <w:bookmarkEnd w:id="53"/>
      <w:bookmarkEnd w:id="54"/>
      <w:bookmarkEnd w:id="55"/>
    </w:p>
    <w:p w14:paraId="1305ADC2" w14:textId="77777777" w:rsidR="00F70DF8" w:rsidRPr="00614EF9" w:rsidRDefault="00B5578B" w:rsidP="00B5578B">
      <w:pPr>
        <w:spacing w:before="60"/>
        <w:rPr>
          <w:lang w:val="fr-FR"/>
        </w:rPr>
      </w:pPr>
      <w:r w:rsidRPr="00614EF9">
        <w:rPr>
          <w:lang w:val="fr-FR"/>
        </w:rPr>
        <w:t>La mise en œuvre du plan de transition est assurée par le Ministère en charge des communications électroniques, à travers la mise en place d’un comité de pilotage institué par arrêté.</w:t>
      </w:r>
    </w:p>
    <w:p w14:paraId="5BE7B25B" w14:textId="77777777" w:rsidR="00B5578B" w:rsidRPr="00614EF9" w:rsidRDefault="00F70DF8" w:rsidP="00B5578B">
      <w:pPr>
        <w:spacing w:before="60"/>
        <w:rPr>
          <w:lang w:val="fr-FR"/>
        </w:rPr>
      </w:pPr>
      <w:r w:rsidRPr="00614EF9">
        <w:rPr>
          <w:lang w:val="fr-FR"/>
        </w:rPr>
        <w:t>Ce comité constitue l'instance de décision et d'arbitrage de l'ensemble des opérations de transition.</w:t>
      </w:r>
    </w:p>
    <w:p w14:paraId="62B246D1" w14:textId="77777777" w:rsidR="00F70DF8" w:rsidRPr="00614EF9" w:rsidRDefault="00B5578B" w:rsidP="007E0FED">
      <w:pPr>
        <w:pStyle w:val="Titre4"/>
        <w:rPr>
          <w:lang w:val="fr-FR"/>
        </w:rPr>
      </w:pPr>
      <w:bookmarkStart w:id="56" w:name="_Toc240614361"/>
      <w:r w:rsidRPr="00614EF9">
        <w:rPr>
          <w:lang w:val="fr-FR"/>
        </w:rPr>
        <w:t>Composition</w:t>
      </w:r>
      <w:bookmarkEnd w:id="56"/>
    </w:p>
    <w:p w14:paraId="6C53A022" w14:textId="77777777" w:rsidR="00B5578B" w:rsidRPr="00614EF9" w:rsidRDefault="00B5578B" w:rsidP="00B5578B">
      <w:pPr>
        <w:spacing w:before="60"/>
        <w:rPr>
          <w:lang w:val="fr-FR"/>
        </w:rPr>
      </w:pPr>
      <w:r w:rsidRPr="00614EF9">
        <w:rPr>
          <w:lang w:val="fr-FR"/>
        </w:rPr>
        <w:t>Le comité réunit :</w:t>
      </w:r>
    </w:p>
    <w:p w14:paraId="5F331AE1" w14:textId="77777777" w:rsidR="00F70DF8" w:rsidRPr="00614EF9" w:rsidRDefault="00F70DF8">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 Ministère en charge des communications électroniques, qui assure la présidence ;</w:t>
      </w:r>
    </w:p>
    <w:p w14:paraId="469B248C" w14:textId="77777777" w:rsidR="0010643B" w:rsidRPr="00614EF9" w:rsidRDefault="005F51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L’ARCEP, représentée par la Direction des Radiocommunications, qui assure le secrétariat ;</w:t>
      </w:r>
    </w:p>
    <w:p w14:paraId="48D5DD89" w14:textId="191712FA" w:rsidR="00B5578B" w:rsidRPr="00614EF9" w:rsidRDefault="0010643B">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L'Observatoire National de la Communication (ONC</w:t>
      </w:r>
      <w:r w:rsidR="00107B9F" w:rsidRPr="00614EF9">
        <w:rPr>
          <w:rFonts w:ascii="Century Gothic" w:hAnsi="Century Gothic"/>
          <w:sz w:val="24"/>
          <w:szCs w:val="24"/>
          <w:lang w:val="fr-FR"/>
        </w:rPr>
        <w:fldChar w:fldCharType="begin"/>
      </w:r>
      <w:r w:rsidR="00107B9F" w:rsidRPr="00614EF9">
        <w:rPr>
          <w:rFonts w:ascii="Century Gothic" w:hAnsi="Century Gothic"/>
        </w:rPr>
        <w:instrText xml:space="preserve"> XE "</w:instrText>
      </w:r>
      <w:proofErr w:type="gramStart"/>
      <w:r w:rsidR="00107B9F" w:rsidRPr="00614EF9">
        <w:rPr>
          <w:rFonts w:ascii="Century Gothic" w:hAnsi="Century Gothic"/>
          <w:sz w:val="24"/>
          <w:szCs w:val="24"/>
          <w:lang w:val="fr-FR"/>
        </w:rPr>
        <w:instrText>ONC</w:instrText>
      </w:r>
      <w:r w:rsidR="00107B9F" w:rsidRPr="00614EF9">
        <w:rPr>
          <w:rFonts w:ascii="Century Gothic" w:hAnsi="Century Gothic"/>
          <w:lang w:val="fr-FR"/>
        </w:rPr>
        <w:instrText>:</w:instrText>
      </w:r>
      <w:r w:rsidR="00107B9F" w:rsidRPr="00614EF9">
        <w:rPr>
          <w:rFonts w:ascii="Century Gothic" w:hAnsi="Century Gothic"/>
        </w:rPr>
        <w:instrText>Observatoire</w:instrText>
      </w:r>
      <w:proofErr w:type="gramEnd"/>
      <w:r w:rsidR="00107B9F" w:rsidRPr="00614EF9">
        <w:rPr>
          <w:rFonts w:ascii="Century Gothic" w:hAnsi="Century Gothic"/>
        </w:rPr>
        <w:instrText xml:space="preserve"> national de la Communication" </w:instrText>
      </w:r>
      <w:r w:rsidR="00107B9F" w:rsidRPr="00614EF9">
        <w:rPr>
          <w:rFonts w:ascii="Century Gothic" w:hAnsi="Century Gothic"/>
          <w:sz w:val="24"/>
          <w:szCs w:val="24"/>
          <w:lang w:val="fr-FR"/>
        </w:rPr>
        <w:fldChar w:fldCharType="end"/>
      </w:r>
      <w:r w:rsidRPr="00614EF9">
        <w:rPr>
          <w:rFonts w:ascii="Century Gothic" w:hAnsi="Century Gothic"/>
          <w:sz w:val="24"/>
          <w:szCs w:val="24"/>
          <w:lang w:val="fr-FR"/>
        </w:rPr>
        <w:t>) ;</w:t>
      </w:r>
    </w:p>
    <w:p w14:paraId="4FA09FF8" w14:textId="77777777" w:rsidR="00B5578B" w:rsidRPr="00614EF9" w:rsidRDefault="0010643B">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Les représentants des catégories d'assignataires impactés ;</w:t>
      </w:r>
    </w:p>
    <w:p w14:paraId="6025C6B5" w14:textId="77777777" w:rsidR="00B5578B" w:rsidRPr="00614EF9" w:rsidRDefault="00B5578B">
      <w:pPr>
        <w:pStyle w:val="Paragraphedeliste"/>
        <w:numPr>
          <w:ilvl w:val="0"/>
          <w:numId w:val="1"/>
        </w:numPr>
        <w:spacing w:after="60"/>
        <w:jc w:val="both"/>
        <w:rPr>
          <w:rFonts w:ascii="Century Gothic" w:hAnsi="Century Gothic"/>
          <w:sz w:val="24"/>
          <w:szCs w:val="24"/>
          <w:lang w:val="fr-FR"/>
        </w:rPr>
      </w:pPr>
      <w:proofErr w:type="gramStart"/>
      <w:r w:rsidRPr="00614EF9">
        <w:rPr>
          <w:rFonts w:ascii="Century Gothic" w:hAnsi="Century Gothic"/>
          <w:sz w:val="24"/>
          <w:szCs w:val="24"/>
          <w:lang w:val="fr-FR"/>
        </w:rPr>
        <w:t>en</w:t>
      </w:r>
      <w:proofErr w:type="gramEnd"/>
      <w:r w:rsidRPr="00614EF9">
        <w:rPr>
          <w:rFonts w:ascii="Century Gothic" w:hAnsi="Century Gothic"/>
          <w:sz w:val="24"/>
          <w:szCs w:val="24"/>
          <w:lang w:val="fr-FR"/>
        </w:rPr>
        <w:t xml:space="preserve"> tant que de besoin, toute personne dont l'expertise est utile aux travaux.</w:t>
      </w:r>
    </w:p>
    <w:p w14:paraId="2444F0E3" w14:textId="77777777" w:rsidR="00B5578B" w:rsidRPr="00614EF9" w:rsidRDefault="00B5578B" w:rsidP="007E0FED">
      <w:pPr>
        <w:pStyle w:val="Titre4"/>
        <w:rPr>
          <w:lang w:val="fr-FR"/>
        </w:rPr>
      </w:pPr>
      <w:bookmarkStart w:id="57" w:name="_Toc232062286"/>
      <w:bookmarkStart w:id="58" w:name="_Toc236636363"/>
      <w:bookmarkStart w:id="59" w:name="_Toc240614362"/>
      <w:r w:rsidRPr="00614EF9">
        <w:rPr>
          <w:lang w:val="fr-FR"/>
        </w:rPr>
        <w:t>Rôles et responsabilités</w:t>
      </w:r>
      <w:bookmarkEnd w:id="57"/>
      <w:bookmarkEnd w:id="58"/>
      <w:bookmarkEnd w:id="59"/>
    </w:p>
    <w:p w14:paraId="03D9F3DC" w14:textId="6FB842EC" w:rsidR="00B5578B" w:rsidRPr="00614EF9" w:rsidRDefault="00B5578B" w:rsidP="00B5578B">
      <w:pPr>
        <w:spacing w:before="60"/>
        <w:rPr>
          <w:lang w:val="fr-FR"/>
        </w:rPr>
      </w:pPr>
      <w:r w:rsidRPr="00614EF9">
        <w:rPr>
          <w:lang w:val="fr-FR"/>
        </w:rPr>
        <w:t xml:space="preserve">Le </w:t>
      </w:r>
      <w:r w:rsidRPr="00614EF9">
        <w:rPr>
          <w:lang w:val="fr-FR"/>
        </w:rPr>
        <w:fldChar w:fldCharType="begin"/>
      </w:r>
      <w:r w:rsidRPr="00614EF9">
        <w:rPr>
          <w:lang w:val="fr-FR"/>
        </w:rPr>
        <w:instrText xml:space="preserve"> REF _Ref240355922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3</w:t>
      </w:r>
      <w:r w:rsidRPr="00614EF9">
        <w:rPr>
          <w:lang w:val="fr-FR"/>
        </w:rPr>
        <w:fldChar w:fldCharType="end"/>
      </w:r>
      <w:r w:rsidR="00530F96" w:rsidRPr="00614EF9">
        <w:rPr>
          <w:lang w:val="fr-FR"/>
        </w:rPr>
        <w:t xml:space="preserve"> ci-dessous répartit les responsabilités entre les acteurs de la transition.</w:t>
      </w:r>
    </w:p>
    <w:tbl>
      <w:tblPr>
        <w:tblStyle w:val="TableauGrille4-Accentuation3"/>
        <w:tblW w:w="9638" w:type="dxa"/>
        <w:jc w:val="center"/>
        <w:tblLayout w:type="fixed"/>
        <w:tblLook w:val="04A0" w:firstRow="1" w:lastRow="0" w:firstColumn="1" w:lastColumn="0" w:noHBand="0" w:noVBand="1"/>
      </w:tblPr>
      <w:tblGrid>
        <w:gridCol w:w="1696"/>
        <w:gridCol w:w="7942"/>
      </w:tblGrid>
      <w:tr w:rsidR="00B5578B" w:rsidRPr="00614EF9" w14:paraId="2AABDB8C" w14:textId="77777777" w:rsidTr="005F51E2">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5B6CE5A9" w14:textId="77777777" w:rsidR="00B5578B" w:rsidRPr="00614EF9" w:rsidRDefault="00B5578B" w:rsidP="009514E2">
            <w:pPr>
              <w:spacing w:before="20" w:after="20"/>
              <w:rPr>
                <w:lang w:val="fr-FR"/>
              </w:rPr>
            </w:pPr>
            <w:r w:rsidRPr="00614EF9">
              <w:rPr>
                <w:color w:val="FFFFFF"/>
                <w:sz w:val="18"/>
                <w:szCs w:val="18"/>
                <w:lang w:val="fr-FR"/>
              </w:rPr>
              <w:t>Acteur</w:t>
            </w:r>
          </w:p>
        </w:tc>
        <w:tc>
          <w:tcPr>
            <w:tcW w:w="7942" w:type="dxa"/>
            <w:tcMar>
              <w:top w:w="40" w:type="dxa"/>
              <w:bottom w:w="40" w:type="dxa"/>
            </w:tcMar>
          </w:tcPr>
          <w:p w14:paraId="7BB35AB5" w14:textId="77777777" w:rsidR="00B5578B" w:rsidRPr="00614EF9" w:rsidRDefault="00B5578B" w:rsidP="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Responsabilités</w:t>
            </w:r>
          </w:p>
        </w:tc>
      </w:tr>
      <w:tr w:rsidR="0010643B" w:rsidRPr="00614EF9" w14:paraId="04ED413C" w14:textId="77777777" w:rsidTr="005F5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1E126533" w14:textId="77777777" w:rsidR="0010643B" w:rsidRPr="00614EF9" w:rsidRDefault="0010643B" w:rsidP="0010643B">
            <w:pPr>
              <w:spacing w:before="20" w:after="20"/>
              <w:rPr>
                <w:sz w:val="18"/>
                <w:szCs w:val="18"/>
                <w:lang w:val="fr-FR"/>
              </w:rPr>
            </w:pPr>
            <w:r w:rsidRPr="00614EF9">
              <w:rPr>
                <w:sz w:val="18"/>
                <w:szCs w:val="18"/>
                <w:lang w:val="fr-FR"/>
              </w:rPr>
              <w:t>Comité de pilotage</w:t>
            </w:r>
          </w:p>
        </w:tc>
        <w:tc>
          <w:tcPr>
            <w:tcW w:w="7942" w:type="dxa"/>
            <w:tcMar>
              <w:top w:w="40" w:type="dxa"/>
              <w:bottom w:w="40" w:type="dxa"/>
            </w:tcMar>
          </w:tcPr>
          <w:p w14:paraId="42C1191D" w14:textId="77777777" w:rsidR="0010643B" w:rsidRPr="00614EF9" w:rsidRDefault="0010643B" w:rsidP="0010643B">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Validation des scénarios de migration et du calendrier ; arbitrage des différends ; approbation des dossiers d'indemnisation ; suivi de l'exécution et décision de révision du plan.</w:t>
            </w:r>
          </w:p>
        </w:tc>
      </w:tr>
      <w:tr w:rsidR="0010643B" w:rsidRPr="00614EF9" w14:paraId="1440EFDA" w14:textId="77777777" w:rsidTr="005F51E2">
        <w:trP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1CEC4A27" w14:textId="77777777" w:rsidR="0010643B" w:rsidRPr="00614EF9" w:rsidRDefault="005F51E2" w:rsidP="0010643B">
            <w:pPr>
              <w:spacing w:before="20" w:after="20"/>
              <w:rPr>
                <w:lang w:val="fr-FR"/>
              </w:rPr>
            </w:pPr>
            <w:r w:rsidRPr="00614EF9">
              <w:rPr>
                <w:sz w:val="18"/>
                <w:szCs w:val="18"/>
                <w:lang w:val="fr-FR"/>
              </w:rPr>
              <w:t>ARCEP</w:t>
            </w:r>
          </w:p>
        </w:tc>
        <w:tc>
          <w:tcPr>
            <w:tcW w:w="7942" w:type="dxa"/>
            <w:tcMar>
              <w:top w:w="40" w:type="dxa"/>
              <w:bottom w:w="40" w:type="dxa"/>
            </w:tcMar>
          </w:tcPr>
          <w:p w14:paraId="2FE58C37" w14:textId="77777777" w:rsidR="0010643B" w:rsidRPr="00614EF9" w:rsidRDefault="0010643B" w:rsidP="0010643B">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Pilotage général du plan ; notification officielle aux assignataires ; instruction et validation des bandes de repli ; coordination internationale et notification à l'UIT ; contrôle du spectre et constat de libération ; mise en œuvre des mesures en cas de non-respect ; réallocation des bandes libérées.</w:t>
            </w:r>
          </w:p>
        </w:tc>
      </w:tr>
      <w:tr w:rsidR="0010643B" w:rsidRPr="00614EF9" w14:paraId="193773F5" w14:textId="77777777" w:rsidTr="005F5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1A3E37D1" w14:textId="77777777" w:rsidR="0010643B" w:rsidRPr="00614EF9" w:rsidRDefault="005F51E2" w:rsidP="0010643B">
            <w:pPr>
              <w:spacing w:before="20" w:after="20"/>
              <w:rPr>
                <w:lang w:val="fr-FR"/>
              </w:rPr>
            </w:pPr>
            <w:r w:rsidRPr="00614EF9">
              <w:rPr>
                <w:sz w:val="18"/>
                <w:szCs w:val="18"/>
                <w:lang w:val="fr-FR"/>
              </w:rPr>
              <w:t>ONC</w:t>
            </w:r>
          </w:p>
        </w:tc>
        <w:tc>
          <w:tcPr>
            <w:tcW w:w="7942" w:type="dxa"/>
            <w:tcMar>
              <w:top w:w="40" w:type="dxa"/>
              <w:bottom w:w="40" w:type="dxa"/>
            </w:tcMar>
          </w:tcPr>
          <w:p w14:paraId="5FF01A8D" w14:textId="77777777" w:rsidR="0010643B" w:rsidRPr="00614EF9" w:rsidRDefault="0010643B" w:rsidP="0010643B">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Relais de l'information auprès des promoteurs de radiodiffusion ; contribution à l'évaluation de l'impact sur l'offre audiovisuelle et sur les téléspectateurs ; concertation sur le calendrier d'extinction de la télévision analogique.</w:t>
            </w:r>
          </w:p>
        </w:tc>
      </w:tr>
      <w:tr w:rsidR="0010643B" w:rsidRPr="00614EF9" w14:paraId="7513AFA4" w14:textId="77777777" w:rsidTr="005F51E2">
        <w:trP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7F684495" w14:textId="77777777" w:rsidR="0010643B" w:rsidRPr="00614EF9" w:rsidRDefault="0010643B" w:rsidP="0010643B">
            <w:pPr>
              <w:spacing w:before="20" w:after="20"/>
              <w:rPr>
                <w:lang w:val="fr-FR"/>
              </w:rPr>
            </w:pPr>
            <w:r w:rsidRPr="00614EF9">
              <w:rPr>
                <w:sz w:val="18"/>
                <w:szCs w:val="18"/>
                <w:lang w:val="fr-FR"/>
              </w:rPr>
              <w:t>Assignataires impactés</w:t>
            </w:r>
          </w:p>
        </w:tc>
        <w:tc>
          <w:tcPr>
            <w:tcW w:w="7942" w:type="dxa"/>
            <w:tcMar>
              <w:top w:w="40" w:type="dxa"/>
              <w:bottom w:w="40" w:type="dxa"/>
            </w:tcMar>
          </w:tcPr>
          <w:p w14:paraId="5E1C0C60" w14:textId="77777777" w:rsidR="0010643B" w:rsidRPr="00614EF9" w:rsidRDefault="0010643B" w:rsidP="0010643B">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Fourniture de l'inventaire exhaustif de leurs assignations et installations ; réalisation des opérations de migration dans les délais notifiés ; information de leurs abonnés et usagers ; déclaration de libération effective.</w:t>
            </w:r>
          </w:p>
        </w:tc>
      </w:tr>
      <w:tr w:rsidR="0010643B" w:rsidRPr="00614EF9" w14:paraId="52EB0D38" w14:textId="77777777" w:rsidTr="005F5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0F460E95" w14:textId="77777777" w:rsidR="0010643B" w:rsidRPr="00614EF9" w:rsidRDefault="0010643B" w:rsidP="0010643B">
            <w:pPr>
              <w:spacing w:before="20" w:after="20"/>
              <w:rPr>
                <w:lang w:val="fr-FR"/>
              </w:rPr>
            </w:pPr>
            <w:r w:rsidRPr="00614EF9">
              <w:rPr>
                <w:sz w:val="18"/>
                <w:szCs w:val="18"/>
                <w:lang w:val="fr-FR"/>
              </w:rPr>
              <w:t>Attributaires des bandes libérées</w:t>
            </w:r>
          </w:p>
        </w:tc>
        <w:tc>
          <w:tcPr>
            <w:tcW w:w="7942" w:type="dxa"/>
            <w:tcMar>
              <w:top w:w="40" w:type="dxa"/>
              <w:bottom w:w="40" w:type="dxa"/>
            </w:tcMar>
          </w:tcPr>
          <w:p w14:paraId="0DAA221B" w14:textId="77777777" w:rsidR="0010643B" w:rsidRPr="00614EF9" w:rsidRDefault="0010643B" w:rsidP="0010643B">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Respect des conditions techniques de coexistence ; participation au financement des coûts de migration selon les modalités arrêtées à la section 7 ; mise en service dans les délais fixés.</w:t>
            </w:r>
          </w:p>
        </w:tc>
      </w:tr>
    </w:tbl>
    <w:p w14:paraId="1E670C04" w14:textId="77777777" w:rsidR="0010643B" w:rsidRPr="00614EF9" w:rsidRDefault="0010643B" w:rsidP="007B1A56">
      <w:pPr>
        <w:pStyle w:val="Lgende"/>
        <w:spacing w:before="120" w:after="120"/>
        <w:rPr>
          <w:color w:val="000000" w:themeColor="text1"/>
          <w:lang w:val="fr-FR"/>
        </w:rPr>
      </w:pPr>
      <w:bookmarkStart w:id="60" w:name="_Ref240355922"/>
      <w:bookmarkStart w:id="61" w:name="_Toc240614517"/>
      <w:bookmarkStart w:id="62" w:name="_Toc236636365"/>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3</w:t>
      </w:r>
      <w:r w:rsidRPr="00614EF9">
        <w:rPr>
          <w:color w:val="000000" w:themeColor="text1"/>
          <w:lang w:val="fr-FR"/>
        </w:rPr>
        <w:fldChar w:fldCharType="end"/>
      </w:r>
      <w:r w:rsidRPr="00614EF9">
        <w:rPr>
          <w:color w:val="000000" w:themeColor="text1"/>
          <w:lang w:val="fr-FR"/>
        </w:rPr>
        <w:t>: Rôle et responsabilités des membres du comité de pilotage</w:t>
      </w:r>
      <w:bookmarkEnd w:id="60"/>
      <w:bookmarkEnd w:id="61"/>
    </w:p>
    <w:p w14:paraId="7244B3CA" w14:textId="77777777" w:rsidR="007C757E" w:rsidRPr="00614EF9" w:rsidRDefault="00222AF2" w:rsidP="0066730D">
      <w:pPr>
        <w:pStyle w:val="Titre3"/>
        <w:rPr>
          <w:lang w:val="fr-FR"/>
        </w:rPr>
      </w:pPr>
      <w:bookmarkStart w:id="63" w:name="_Toc240614363"/>
      <w:r w:rsidRPr="00614EF9">
        <w:rPr>
          <w:lang w:val="fr-FR"/>
        </w:rPr>
        <w:t>Arbitrage et recours</w:t>
      </w:r>
      <w:bookmarkEnd w:id="46"/>
      <w:bookmarkEnd w:id="62"/>
      <w:bookmarkEnd w:id="63"/>
    </w:p>
    <w:p w14:paraId="50B25161" w14:textId="77777777" w:rsidR="003A2650" w:rsidRPr="00614EF9" w:rsidRDefault="009514E2">
      <w:pPr>
        <w:spacing w:before="60"/>
        <w:rPr>
          <w:lang w:val="fr-FR"/>
        </w:rPr>
      </w:pPr>
      <w:r w:rsidRPr="00614EF9">
        <w:rPr>
          <w:lang w:val="fr-FR"/>
        </w:rPr>
        <w:lastRenderedPageBreak/>
        <w:t>Tout différend relatif à la mise en œuvre du plan de transition fait d'abord l'objet d'un examen contradictoire entre l'assignataire et la Direction des Radiocommunications, consigné dans un procès-verbal.</w:t>
      </w:r>
    </w:p>
    <w:p w14:paraId="63E8DFF6" w14:textId="77777777" w:rsidR="003A2650" w:rsidRPr="00614EF9" w:rsidRDefault="009514E2">
      <w:pPr>
        <w:spacing w:before="60"/>
        <w:rPr>
          <w:lang w:val="fr-FR"/>
        </w:rPr>
      </w:pPr>
      <w:r w:rsidRPr="00614EF9">
        <w:rPr>
          <w:lang w:val="fr-FR"/>
        </w:rPr>
        <w:t>À défaut d’accord, l’assignataire saisit le comité de pilotage par écrit. Le comité statue dans un délai de [trente jours] à compter de la saisine. Son avis est motivé et notifié par écrit à l’assignataire.</w:t>
      </w:r>
    </w:p>
    <w:p w14:paraId="77E4C584" w14:textId="77777777" w:rsidR="003A2650" w:rsidRPr="00614EF9" w:rsidRDefault="009514E2">
      <w:pPr>
        <w:spacing w:before="60"/>
        <w:rPr>
          <w:lang w:val="fr-FR"/>
        </w:rPr>
      </w:pPr>
      <w:r w:rsidRPr="00614EF9">
        <w:rPr>
          <w:lang w:val="fr-FR"/>
        </w:rPr>
        <w:t>Les décisions prises au titre du présent plan de transition sont susceptibles de recours administratifs prévus par la réglementation en vigueur. L'exercice d'un recours ne suspend pas, par lui-même, les échéances de libération notifiées, sauf décision expresse du comité de pilotage prononçant un sursis motivé.</w:t>
      </w:r>
    </w:p>
    <w:p w14:paraId="57F7570D" w14:textId="2380E28D" w:rsidR="00AB602B" w:rsidRPr="00614EF9" w:rsidRDefault="009514E2" w:rsidP="0073003C">
      <w:pPr>
        <w:spacing w:before="60"/>
        <w:rPr>
          <w:lang w:val="fr-FR"/>
        </w:rPr>
      </w:pPr>
      <w:r w:rsidRPr="00614EF9">
        <w:rPr>
          <w:lang w:val="fr-FR"/>
        </w:rPr>
        <w:t>Lorsque le différend porte sur une question d’ingénierie hertzienne ou sur l’évaluation d’un coût de migration, le comité peut ordonner une expertise contradictoire. Il en fixe le délai de remise.</w:t>
      </w:r>
      <w:r w:rsidR="00AB602B" w:rsidRPr="00614EF9">
        <w:rPr>
          <w:lang w:val="fr-FR"/>
        </w:rPr>
        <w:br w:type="page"/>
      </w:r>
    </w:p>
    <w:p w14:paraId="46D37520" w14:textId="77777777" w:rsidR="007C757E" w:rsidRPr="00614EF9" w:rsidRDefault="009514E2">
      <w:pPr>
        <w:pStyle w:val="Titre1"/>
        <w:rPr>
          <w:lang w:val="fr-FR"/>
        </w:rPr>
      </w:pPr>
      <w:bookmarkStart w:id="64" w:name="_Toc232062289"/>
      <w:bookmarkStart w:id="65" w:name="_Toc236636366"/>
      <w:bookmarkStart w:id="66" w:name="_Ref240508236"/>
      <w:bookmarkStart w:id="67" w:name="_Toc240614364"/>
      <w:r w:rsidRPr="00614EF9">
        <w:rPr>
          <w:lang w:val="fr-FR"/>
        </w:rPr>
        <w:lastRenderedPageBreak/>
        <w:t>Diagnostic de l’existant</w:t>
      </w:r>
      <w:bookmarkEnd w:id="64"/>
      <w:bookmarkEnd w:id="65"/>
      <w:bookmarkEnd w:id="66"/>
      <w:bookmarkEnd w:id="67"/>
    </w:p>
    <w:p w14:paraId="39411994" w14:textId="77777777" w:rsidR="007C757E" w:rsidRPr="00614EF9" w:rsidRDefault="009514E2" w:rsidP="007D4BE4">
      <w:pPr>
        <w:pStyle w:val="Titre2"/>
        <w:rPr>
          <w:lang w:val="fr-FR"/>
        </w:rPr>
      </w:pPr>
      <w:bookmarkStart w:id="68" w:name="_Toc232062290"/>
      <w:bookmarkStart w:id="69" w:name="_Toc236636367"/>
      <w:bookmarkStart w:id="70" w:name="_Toc240614365"/>
      <w:r w:rsidRPr="00614EF9">
        <w:rPr>
          <w:lang w:val="fr-FR"/>
        </w:rPr>
        <w:t>Méthodologie</w:t>
      </w:r>
      <w:bookmarkEnd w:id="68"/>
      <w:bookmarkEnd w:id="69"/>
      <w:bookmarkEnd w:id="70"/>
    </w:p>
    <w:p w14:paraId="117F0B26" w14:textId="77777777" w:rsidR="003A2650" w:rsidRPr="00614EF9" w:rsidRDefault="009514E2">
      <w:pPr>
        <w:spacing w:before="60"/>
        <w:rPr>
          <w:lang w:val="fr-FR"/>
        </w:rPr>
      </w:pPr>
      <w:r w:rsidRPr="00614EF9">
        <w:rPr>
          <w:lang w:val="fr-FR"/>
        </w:rPr>
        <w:t>Le diagnostic repose sur trois sources, dont le recoupement établit l’occupation réelle des bandes concernées.</w:t>
      </w:r>
    </w:p>
    <w:p w14:paraId="51DB761D"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Les campagnes d’observation du spectre conduites par l’ARCEP, qui établissent l’occupation effective indépendamment des déclarations. Elles ont mis en évidence la persistance de signaux de radiodiffusion télévisuelle dans la bande 700 MHz et la présence de produits d’intermodulation issus de la radiodiffusion sonore à modulation de fréquence ;</w:t>
      </w:r>
    </w:p>
    <w:p w14:paraId="6B4F110C"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Les déclarations des assignataires recueillies lors de la consultation publique, qui fournissent l’inventaire des installations, leurs caractéristiques techniques et les éléments économiques associés ;</w:t>
      </w:r>
    </w:p>
    <w:p w14:paraId="534DE362" w14:textId="7DA2B04A"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 registre national des fréquences (RNF</w:t>
      </w:r>
      <w:r w:rsidR="00107B9F" w:rsidRPr="00614EF9">
        <w:rPr>
          <w:rFonts w:ascii="Century Gothic" w:hAnsi="Century Gothic"/>
          <w:sz w:val="24"/>
          <w:szCs w:val="24"/>
          <w:lang w:val="fr-FR"/>
        </w:rPr>
        <w:fldChar w:fldCharType="begin"/>
      </w:r>
      <w:r w:rsidR="00107B9F" w:rsidRPr="00614EF9">
        <w:rPr>
          <w:rFonts w:ascii="Century Gothic" w:hAnsi="Century Gothic"/>
        </w:rPr>
        <w:instrText xml:space="preserve"> XE "</w:instrText>
      </w:r>
      <w:proofErr w:type="gramStart"/>
      <w:r w:rsidR="00107B9F" w:rsidRPr="00614EF9">
        <w:rPr>
          <w:rFonts w:ascii="Century Gothic" w:hAnsi="Century Gothic"/>
          <w:sz w:val="24"/>
          <w:szCs w:val="24"/>
          <w:lang w:val="fr-FR"/>
        </w:rPr>
        <w:instrText>RNF</w:instrText>
      </w:r>
      <w:r w:rsidR="00107B9F" w:rsidRPr="00614EF9">
        <w:rPr>
          <w:rFonts w:ascii="Century Gothic" w:hAnsi="Century Gothic"/>
          <w:lang w:val="fr-FR"/>
        </w:rPr>
        <w:instrText>:</w:instrText>
      </w:r>
      <w:r w:rsidR="00107B9F" w:rsidRPr="00614EF9">
        <w:rPr>
          <w:rFonts w:ascii="Century Gothic" w:hAnsi="Century Gothic"/>
        </w:rPr>
        <w:instrText>Registre</w:instrText>
      </w:r>
      <w:proofErr w:type="gramEnd"/>
      <w:r w:rsidR="00107B9F" w:rsidRPr="00614EF9">
        <w:rPr>
          <w:rFonts w:ascii="Century Gothic" w:hAnsi="Century Gothic"/>
        </w:rPr>
        <w:instrText xml:space="preserve"> national des fréquences" </w:instrText>
      </w:r>
      <w:r w:rsidR="00107B9F" w:rsidRPr="00614EF9">
        <w:rPr>
          <w:rFonts w:ascii="Century Gothic" w:hAnsi="Century Gothic"/>
          <w:sz w:val="24"/>
          <w:szCs w:val="24"/>
          <w:lang w:val="fr-FR"/>
        </w:rPr>
        <w:fldChar w:fldCharType="end"/>
      </w:r>
      <w:r w:rsidRPr="00614EF9">
        <w:rPr>
          <w:rFonts w:ascii="Century Gothic" w:hAnsi="Century Gothic"/>
          <w:sz w:val="24"/>
          <w:szCs w:val="24"/>
          <w:lang w:val="fr-FR"/>
        </w:rPr>
        <w:t>) détenu par l’ARCEP, référence administrative qui permet de vérifier la cohérence des déclarations.</w:t>
      </w:r>
    </w:p>
    <w:p w14:paraId="6E190156" w14:textId="77777777" w:rsidR="007C757E" w:rsidRPr="00614EF9" w:rsidRDefault="009514E2" w:rsidP="007D4BE4">
      <w:pPr>
        <w:pStyle w:val="Titre2"/>
        <w:rPr>
          <w:lang w:val="fr-FR"/>
        </w:rPr>
      </w:pPr>
      <w:bookmarkStart w:id="71" w:name="_Toc232062291"/>
      <w:bookmarkStart w:id="72" w:name="_Toc236636368"/>
      <w:bookmarkStart w:id="73" w:name="_Toc240614366"/>
      <w:r w:rsidRPr="00614EF9">
        <w:rPr>
          <w:lang w:val="fr-FR"/>
        </w:rPr>
        <w:t>Inventaire des assignations actuelles</w:t>
      </w:r>
      <w:bookmarkEnd w:id="71"/>
      <w:bookmarkEnd w:id="72"/>
      <w:bookmarkEnd w:id="73"/>
    </w:p>
    <w:p w14:paraId="50553F2C" w14:textId="77777777" w:rsidR="003A2650" w:rsidRPr="00614EF9" w:rsidRDefault="009514E2">
      <w:pPr>
        <w:spacing w:before="60"/>
        <w:rPr>
          <w:lang w:val="fr-FR"/>
        </w:rPr>
      </w:pPr>
      <w:r w:rsidRPr="00614EF9">
        <w:rPr>
          <w:lang w:val="fr-FR"/>
        </w:rPr>
        <w:t>L’inventaire consolidé recense les installations des quatre volets : 600 MHz, 700 MHz, 2,4 GHz et 5 GHz, et bande C.</w:t>
      </w:r>
    </w:p>
    <w:p w14:paraId="71654948" w14:textId="0C5D4FFB" w:rsidR="000614D8" w:rsidRPr="00614EF9" w:rsidRDefault="009514E2" w:rsidP="0066730D">
      <w:pPr>
        <w:pStyle w:val="Titre3"/>
        <w:rPr>
          <w:lang w:val="fr-FR"/>
        </w:rPr>
      </w:pPr>
      <w:bookmarkStart w:id="74" w:name="_Toc240614367"/>
      <w:r w:rsidRPr="00614EF9">
        <w:rPr>
          <w:lang w:val="fr-FR"/>
        </w:rPr>
        <w:t xml:space="preserve">Volet 600 </w:t>
      </w:r>
      <w:r w:rsidR="00834704" w:rsidRPr="00614EF9">
        <w:rPr>
          <w:lang w:val="fr-FR"/>
        </w:rPr>
        <w:t>MHz :</w:t>
      </w:r>
      <w:r w:rsidRPr="00614EF9">
        <w:rPr>
          <w:lang w:val="fr-FR"/>
        </w:rPr>
        <w:t xml:space="preserve"> Télévision Numérique Terrestre (TNT</w:t>
      </w:r>
      <w:r w:rsidR="00107B9F" w:rsidRPr="00614EF9">
        <w:rPr>
          <w:lang w:val="fr-FR"/>
        </w:rPr>
        <w:fldChar w:fldCharType="begin"/>
      </w:r>
      <w:r w:rsidR="00107B9F" w:rsidRPr="00614EF9">
        <w:instrText xml:space="preserve"> XE "</w:instrText>
      </w:r>
      <w:proofErr w:type="gramStart"/>
      <w:r w:rsidR="00107B9F" w:rsidRPr="00614EF9">
        <w:rPr>
          <w:lang w:val="fr-FR"/>
        </w:rPr>
        <w:instrText>TNT:</w:instrText>
      </w:r>
      <w:r w:rsidR="00107B9F" w:rsidRPr="00614EF9">
        <w:instrText>Télévision</w:instrText>
      </w:r>
      <w:proofErr w:type="gramEnd"/>
      <w:r w:rsidR="00107B9F" w:rsidRPr="00614EF9">
        <w:instrText xml:space="preserve"> numérique terrestre" </w:instrText>
      </w:r>
      <w:r w:rsidR="00107B9F" w:rsidRPr="00614EF9">
        <w:rPr>
          <w:lang w:val="fr-FR"/>
        </w:rPr>
        <w:fldChar w:fldCharType="end"/>
      </w:r>
      <w:r w:rsidRPr="00614EF9">
        <w:rPr>
          <w:lang w:val="fr-FR"/>
        </w:rPr>
        <w:t>) et télévision analogique</w:t>
      </w:r>
      <w:bookmarkEnd w:id="74"/>
    </w:p>
    <w:p w14:paraId="55B9483D" w14:textId="56502030" w:rsidR="003A2650" w:rsidRPr="00614EF9" w:rsidRDefault="00734CBF">
      <w:pPr>
        <w:spacing w:before="60"/>
        <w:rPr>
          <w:lang w:val="fr-FR"/>
        </w:rPr>
      </w:pPr>
      <w:r w:rsidRPr="00614EF9">
        <w:rPr>
          <w:lang w:val="fr-FR"/>
        </w:rPr>
        <w:t xml:space="preserve">Cinq émetteurs sont exploités dans les plages concernées. Quatre relèvent du multiplex TNT NIGER 01 et sont installés à 75 mètres de hauteur. Le cinquième est un émetteur analogique. Le </w:t>
      </w:r>
      <w:r w:rsidRPr="00614EF9">
        <w:rPr>
          <w:lang w:val="fr-FR"/>
        </w:rPr>
        <w:fldChar w:fldCharType="begin"/>
      </w:r>
      <w:r w:rsidRPr="00614EF9">
        <w:rPr>
          <w:lang w:val="fr-FR"/>
        </w:rPr>
        <w:instrText xml:space="preserve"> REF _Ref240360394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4</w:t>
      </w:r>
      <w:r w:rsidRPr="00614EF9">
        <w:rPr>
          <w:lang w:val="fr-FR"/>
        </w:rPr>
        <w:fldChar w:fldCharType="end"/>
      </w:r>
      <w:r w:rsidR="00834704" w:rsidRPr="00614EF9">
        <w:rPr>
          <w:lang w:val="fr-FR"/>
        </w:rPr>
        <w:t xml:space="preserve"> ci-dessous les récapitule.</w:t>
      </w:r>
    </w:p>
    <w:tbl>
      <w:tblPr>
        <w:tblStyle w:val="TableauGrille4-Accentuation3"/>
        <w:tblW w:w="9638" w:type="dxa"/>
        <w:jc w:val="center"/>
        <w:tblLayout w:type="fixed"/>
        <w:tblLook w:val="04A0" w:firstRow="1" w:lastRow="0" w:firstColumn="1" w:lastColumn="0" w:noHBand="0" w:noVBand="1"/>
      </w:tblPr>
      <w:tblGrid>
        <w:gridCol w:w="1700"/>
        <w:gridCol w:w="1200"/>
        <w:gridCol w:w="1490"/>
        <w:gridCol w:w="1275"/>
        <w:gridCol w:w="3973"/>
      </w:tblGrid>
      <w:tr w:rsidR="003A2650" w:rsidRPr="00614EF9" w14:paraId="797F39A1" w14:textId="77777777" w:rsidTr="005A7645">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40153A61" w14:textId="77777777" w:rsidR="003A2650" w:rsidRPr="00614EF9" w:rsidRDefault="009514E2">
            <w:pPr>
              <w:spacing w:before="20" w:after="20"/>
              <w:rPr>
                <w:lang w:val="fr-FR"/>
              </w:rPr>
            </w:pPr>
            <w:r w:rsidRPr="00614EF9">
              <w:rPr>
                <w:color w:val="FFFFFF"/>
                <w:sz w:val="18"/>
                <w:szCs w:val="18"/>
                <w:lang w:val="fr-FR"/>
              </w:rPr>
              <w:t>Site</w:t>
            </w:r>
          </w:p>
        </w:tc>
        <w:tc>
          <w:tcPr>
            <w:tcW w:w="1200" w:type="dxa"/>
            <w:tcMar>
              <w:top w:w="40" w:type="dxa"/>
              <w:bottom w:w="40" w:type="dxa"/>
            </w:tcMar>
          </w:tcPr>
          <w:p w14:paraId="096D7C80"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Canal UHF</w:t>
            </w:r>
          </w:p>
        </w:tc>
        <w:tc>
          <w:tcPr>
            <w:tcW w:w="1490" w:type="dxa"/>
            <w:tcMar>
              <w:top w:w="40" w:type="dxa"/>
              <w:bottom w:w="40" w:type="dxa"/>
            </w:tcMar>
          </w:tcPr>
          <w:p w14:paraId="484DE522"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Multiplex</w:t>
            </w:r>
          </w:p>
        </w:tc>
        <w:tc>
          <w:tcPr>
            <w:tcW w:w="1275" w:type="dxa"/>
            <w:tcMar>
              <w:top w:w="40" w:type="dxa"/>
              <w:bottom w:w="40" w:type="dxa"/>
            </w:tcMar>
          </w:tcPr>
          <w:p w14:paraId="6F5C30C0"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proofErr w:type="spellStart"/>
            <w:r w:rsidRPr="00614EF9">
              <w:rPr>
                <w:color w:val="FFFFFF"/>
                <w:sz w:val="18"/>
                <w:szCs w:val="18"/>
                <w:lang w:val="fr-FR"/>
              </w:rPr>
              <w:t>P.i.r.e</w:t>
            </w:r>
            <w:proofErr w:type="spellEnd"/>
            <w:r w:rsidRPr="00614EF9">
              <w:rPr>
                <w:color w:val="FFFFFF"/>
                <w:sz w:val="18"/>
                <w:szCs w:val="18"/>
                <w:lang w:val="fr-FR"/>
              </w:rPr>
              <w:t>. (kW)</w:t>
            </w:r>
          </w:p>
        </w:tc>
        <w:tc>
          <w:tcPr>
            <w:tcW w:w="3973" w:type="dxa"/>
            <w:tcMar>
              <w:top w:w="40" w:type="dxa"/>
              <w:bottom w:w="40" w:type="dxa"/>
            </w:tcMar>
          </w:tcPr>
          <w:p w14:paraId="3EC72911"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Couverture</w:t>
            </w:r>
          </w:p>
        </w:tc>
      </w:tr>
      <w:tr w:rsidR="003A2650" w:rsidRPr="00614EF9" w14:paraId="147A77CE" w14:textId="77777777" w:rsidTr="005A76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20D2C821" w14:textId="77777777" w:rsidR="003A2650" w:rsidRPr="00614EF9" w:rsidRDefault="009514E2">
            <w:pPr>
              <w:spacing w:before="20" w:after="20"/>
              <w:rPr>
                <w:b w:val="0"/>
                <w:bCs w:val="0"/>
                <w:lang w:val="fr-FR"/>
              </w:rPr>
            </w:pPr>
            <w:r w:rsidRPr="00614EF9">
              <w:rPr>
                <w:b w:val="0"/>
                <w:bCs w:val="0"/>
                <w:sz w:val="18"/>
                <w:szCs w:val="18"/>
                <w:lang w:val="fr-FR"/>
              </w:rPr>
              <w:t>Dakoro</w:t>
            </w:r>
          </w:p>
        </w:tc>
        <w:tc>
          <w:tcPr>
            <w:tcW w:w="1200" w:type="dxa"/>
            <w:tcMar>
              <w:top w:w="40" w:type="dxa"/>
              <w:bottom w:w="40" w:type="dxa"/>
            </w:tcMar>
          </w:tcPr>
          <w:p w14:paraId="51547061" w14:textId="77777777" w:rsidR="003A2650" w:rsidRPr="00614EF9" w:rsidRDefault="009514E2" w:rsidP="005A7645">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40</w:t>
            </w:r>
          </w:p>
        </w:tc>
        <w:tc>
          <w:tcPr>
            <w:tcW w:w="1490" w:type="dxa"/>
            <w:tcMar>
              <w:top w:w="40" w:type="dxa"/>
              <w:bottom w:w="40" w:type="dxa"/>
            </w:tcMar>
          </w:tcPr>
          <w:p w14:paraId="2F6823A3"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TNT NIGER 01</w:t>
            </w:r>
          </w:p>
        </w:tc>
        <w:tc>
          <w:tcPr>
            <w:tcW w:w="1275" w:type="dxa"/>
            <w:tcMar>
              <w:top w:w="40" w:type="dxa"/>
              <w:bottom w:w="40" w:type="dxa"/>
            </w:tcMar>
          </w:tcPr>
          <w:p w14:paraId="492BFB5B" w14:textId="77777777" w:rsidR="003A2650" w:rsidRPr="00614EF9" w:rsidRDefault="009514E2" w:rsidP="005A7645">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0,130</w:t>
            </w:r>
          </w:p>
        </w:tc>
        <w:tc>
          <w:tcPr>
            <w:tcW w:w="3973" w:type="dxa"/>
            <w:tcMar>
              <w:top w:w="40" w:type="dxa"/>
              <w:bottom w:w="40" w:type="dxa"/>
            </w:tcMar>
          </w:tcPr>
          <w:p w14:paraId="3756B56A"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Dakoro et alentours</w:t>
            </w:r>
          </w:p>
        </w:tc>
      </w:tr>
      <w:tr w:rsidR="00734CBF" w:rsidRPr="00614EF9" w14:paraId="28E1EA61" w14:textId="77777777" w:rsidTr="005A7645">
        <w:trPr>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3952DA93" w14:textId="77777777" w:rsidR="00734CBF" w:rsidRPr="00614EF9" w:rsidRDefault="00734CBF" w:rsidP="00734CBF">
            <w:pPr>
              <w:spacing w:before="20" w:after="20"/>
              <w:rPr>
                <w:b w:val="0"/>
                <w:bCs w:val="0"/>
                <w:sz w:val="18"/>
                <w:szCs w:val="18"/>
                <w:lang w:val="fr-FR"/>
              </w:rPr>
            </w:pPr>
            <w:proofErr w:type="spellStart"/>
            <w:r w:rsidRPr="00614EF9">
              <w:rPr>
                <w:b w:val="0"/>
                <w:bCs w:val="0"/>
                <w:sz w:val="18"/>
                <w:szCs w:val="18"/>
                <w:lang w:val="fr-FR"/>
              </w:rPr>
              <w:t>Balleyara</w:t>
            </w:r>
            <w:proofErr w:type="spellEnd"/>
          </w:p>
        </w:tc>
        <w:tc>
          <w:tcPr>
            <w:tcW w:w="1200" w:type="dxa"/>
            <w:tcMar>
              <w:top w:w="40" w:type="dxa"/>
              <w:bottom w:w="40" w:type="dxa"/>
            </w:tcMar>
          </w:tcPr>
          <w:p w14:paraId="3A9810D8" w14:textId="77777777" w:rsidR="00734CBF" w:rsidRPr="00614EF9" w:rsidRDefault="00734CBF" w:rsidP="00734CBF">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41</w:t>
            </w:r>
          </w:p>
        </w:tc>
        <w:tc>
          <w:tcPr>
            <w:tcW w:w="1490" w:type="dxa"/>
            <w:tcMar>
              <w:top w:w="40" w:type="dxa"/>
              <w:bottom w:w="40" w:type="dxa"/>
            </w:tcMar>
          </w:tcPr>
          <w:p w14:paraId="76CB0755" w14:textId="77777777" w:rsidR="00734CBF" w:rsidRPr="00614EF9" w:rsidRDefault="00734CBF" w:rsidP="00734CBF">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TNT NIGER 01</w:t>
            </w:r>
          </w:p>
        </w:tc>
        <w:tc>
          <w:tcPr>
            <w:tcW w:w="1275" w:type="dxa"/>
            <w:tcMar>
              <w:top w:w="40" w:type="dxa"/>
              <w:bottom w:w="40" w:type="dxa"/>
            </w:tcMar>
          </w:tcPr>
          <w:p w14:paraId="65E5320D" w14:textId="77777777" w:rsidR="00734CBF" w:rsidRPr="00614EF9" w:rsidRDefault="00734CBF" w:rsidP="00734CBF">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0,130</w:t>
            </w:r>
          </w:p>
        </w:tc>
        <w:tc>
          <w:tcPr>
            <w:tcW w:w="3973" w:type="dxa"/>
            <w:tcMar>
              <w:top w:w="40" w:type="dxa"/>
              <w:bottom w:w="40" w:type="dxa"/>
            </w:tcMar>
          </w:tcPr>
          <w:p w14:paraId="24BE0566" w14:textId="77777777" w:rsidR="00734CBF" w:rsidRPr="00614EF9" w:rsidRDefault="00734CBF" w:rsidP="00734CBF">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roofErr w:type="spellStart"/>
            <w:r w:rsidRPr="00614EF9">
              <w:rPr>
                <w:sz w:val="18"/>
                <w:szCs w:val="18"/>
                <w:lang w:val="fr-FR"/>
              </w:rPr>
              <w:t>Balleyara</w:t>
            </w:r>
            <w:proofErr w:type="spellEnd"/>
            <w:r w:rsidRPr="00614EF9">
              <w:rPr>
                <w:sz w:val="18"/>
                <w:szCs w:val="18"/>
                <w:lang w:val="fr-FR"/>
              </w:rPr>
              <w:t xml:space="preserve"> et alentours</w:t>
            </w:r>
          </w:p>
        </w:tc>
      </w:tr>
      <w:tr w:rsidR="00734CBF" w:rsidRPr="00614EF9" w14:paraId="5101FFE2" w14:textId="77777777" w:rsidTr="005A76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7DE95A49" w14:textId="77777777" w:rsidR="00734CBF" w:rsidRPr="00614EF9" w:rsidRDefault="00734CBF" w:rsidP="00734CBF">
            <w:pPr>
              <w:spacing w:before="20" w:after="20"/>
              <w:rPr>
                <w:b w:val="0"/>
                <w:bCs w:val="0"/>
                <w:sz w:val="18"/>
                <w:szCs w:val="18"/>
                <w:lang w:val="fr-FR"/>
              </w:rPr>
            </w:pPr>
            <w:r w:rsidRPr="00614EF9">
              <w:rPr>
                <w:b w:val="0"/>
                <w:bCs w:val="0"/>
                <w:sz w:val="18"/>
                <w:szCs w:val="18"/>
                <w:lang w:val="fr-FR"/>
              </w:rPr>
              <w:t>Madama</w:t>
            </w:r>
          </w:p>
        </w:tc>
        <w:tc>
          <w:tcPr>
            <w:tcW w:w="1200" w:type="dxa"/>
            <w:tcMar>
              <w:top w:w="40" w:type="dxa"/>
              <w:bottom w:w="40" w:type="dxa"/>
            </w:tcMar>
          </w:tcPr>
          <w:p w14:paraId="7C39948F" w14:textId="77777777" w:rsidR="00734CBF" w:rsidRPr="00614EF9" w:rsidRDefault="00734CBF" w:rsidP="00734CBF">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41</w:t>
            </w:r>
          </w:p>
        </w:tc>
        <w:tc>
          <w:tcPr>
            <w:tcW w:w="1490" w:type="dxa"/>
            <w:tcMar>
              <w:top w:w="40" w:type="dxa"/>
              <w:bottom w:w="40" w:type="dxa"/>
            </w:tcMar>
          </w:tcPr>
          <w:p w14:paraId="48051D52" w14:textId="77777777" w:rsidR="00734CBF" w:rsidRPr="00614EF9" w:rsidRDefault="00734CBF" w:rsidP="00734CBF">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TNT NIGER 01</w:t>
            </w:r>
          </w:p>
        </w:tc>
        <w:tc>
          <w:tcPr>
            <w:tcW w:w="1275" w:type="dxa"/>
            <w:tcMar>
              <w:top w:w="40" w:type="dxa"/>
              <w:bottom w:w="40" w:type="dxa"/>
            </w:tcMar>
          </w:tcPr>
          <w:p w14:paraId="0742B7DF" w14:textId="77777777" w:rsidR="00734CBF" w:rsidRPr="00614EF9" w:rsidRDefault="00734CBF" w:rsidP="00734CBF">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0,100</w:t>
            </w:r>
          </w:p>
        </w:tc>
        <w:tc>
          <w:tcPr>
            <w:tcW w:w="3973" w:type="dxa"/>
            <w:tcMar>
              <w:top w:w="40" w:type="dxa"/>
              <w:bottom w:w="40" w:type="dxa"/>
            </w:tcMar>
          </w:tcPr>
          <w:p w14:paraId="25949AC3" w14:textId="77777777" w:rsidR="00734CBF" w:rsidRPr="00614EF9" w:rsidRDefault="00734CBF" w:rsidP="00734CBF">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Camp des forces de défense et de sécurité</w:t>
            </w:r>
          </w:p>
        </w:tc>
      </w:tr>
      <w:tr w:rsidR="00734CBF" w:rsidRPr="00614EF9" w14:paraId="0A08D35B" w14:textId="77777777" w:rsidTr="005A7645">
        <w:trPr>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54C26129" w14:textId="77777777" w:rsidR="00734CBF" w:rsidRPr="00614EF9" w:rsidRDefault="00734CBF" w:rsidP="00734CBF">
            <w:pPr>
              <w:spacing w:before="20" w:after="20"/>
              <w:rPr>
                <w:b w:val="0"/>
                <w:bCs w:val="0"/>
                <w:lang w:val="fr-FR"/>
              </w:rPr>
            </w:pPr>
            <w:r w:rsidRPr="00614EF9">
              <w:rPr>
                <w:b w:val="0"/>
                <w:bCs w:val="0"/>
                <w:sz w:val="18"/>
                <w:szCs w:val="18"/>
                <w:lang w:val="fr-FR"/>
              </w:rPr>
              <w:t>Bouza</w:t>
            </w:r>
          </w:p>
        </w:tc>
        <w:tc>
          <w:tcPr>
            <w:tcW w:w="1200" w:type="dxa"/>
            <w:tcMar>
              <w:top w:w="40" w:type="dxa"/>
              <w:bottom w:w="40" w:type="dxa"/>
            </w:tcMar>
          </w:tcPr>
          <w:p w14:paraId="4016367D" w14:textId="77777777" w:rsidR="00734CBF" w:rsidRPr="00614EF9" w:rsidRDefault="00734CBF" w:rsidP="00734CBF">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44</w:t>
            </w:r>
          </w:p>
        </w:tc>
        <w:tc>
          <w:tcPr>
            <w:tcW w:w="1490" w:type="dxa"/>
            <w:tcMar>
              <w:top w:w="40" w:type="dxa"/>
              <w:bottom w:w="40" w:type="dxa"/>
            </w:tcMar>
          </w:tcPr>
          <w:p w14:paraId="2F353606" w14:textId="77777777" w:rsidR="00734CBF" w:rsidRPr="00614EF9" w:rsidRDefault="00734CBF" w:rsidP="00734CBF">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TNT NIGER 01</w:t>
            </w:r>
          </w:p>
        </w:tc>
        <w:tc>
          <w:tcPr>
            <w:tcW w:w="1275" w:type="dxa"/>
            <w:tcMar>
              <w:top w:w="40" w:type="dxa"/>
              <w:bottom w:w="40" w:type="dxa"/>
            </w:tcMar>
          </w:tcPr>
          <w:p w14:paraId="27664B23" w14:textId="77777777" w:rsidR="00734CBF" w:rsidRPr="00614EF9" w:rsidRDefault="00734CBF" w:rsidP="00734CBF">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0,130</w:t>
            </w:r>
          </w:p>
        </w:tc>
        <w:tc>
          <w:tcPr>
            <w:tcW w:w="3973" w:type="dxa"/>
            <w:tcMar>
              <w:top w:w="40" w:type="dxa"/>
              <w:bottom w:w="40" w:type="dxa"/>
            </w:tcMar>
          </w:tcPr>
          <w:p w14:paraId="1A5D5815" w14:textId="77777777" w:rsidR="00734CBF" w:rsidRPr="00614EF9" w:rsidRDefault="00734CBF" w:rsidP="00734CBF">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Bouza et alentours</w:t>
            </w:r>
          </w:p>
        </w:tc>
      </w:tr>
      <w:tr w:rsidR="00734CBF" w:rsidRPr="00614EF9" w14:paraId="640DC863" w14:textId="77777777" w:rsidTr="005A764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0" w:type="dxa"/>
            <w:tcMar>
              <w:top w:w="40" w:type="dxa"/>
              <w:bottom w:w="40" w:type="dxa"/>
            </w:tcMar>
          </w:tcPr>
          <w:p w14:paraId="0FA1069B" w14:textId="77777777" w:rsidR="00734CBF" w:rsidRPr="00614EF9" w:rsidRDefault="00734CBF" w:rsidP="00734CBF">
            <w:pPr>
              <w:spacing w:before="20" w:after="20"/>
              <w:rPr>
                <w:b w:val="0"/>
                <w:bCs w:val="0"/>
                <w:sz w:val="18"/>
                <w:szCs w:val="18"/>
                <w:lang w:val="fr-FR"/>
              </w:rPr>
            </w:pPr>
            <w:proofErr w:type="spellStart"/>
            <w:r w:rsidRPr="00614EF9">
              <w:rPr>
                <w:b w:val="0"/>
                <w:bCs w:val="0"/>
                <w:sz w:val="18"/>
                <w:szCs w:val="18"/>
                <w:lang w:val="fr-FR"/>
              </w:rPr>
              <w:t>Iférouane</w:t>
            </w:r>
            <w:proofErr w:type="spellEnd"/>
          </w:p>
        </w:tc>
        <w:tc>
          <w:tcPr>
            <w:tcW w:w="1200" w:type="dxa"/>
            <w:tcMar>
              <w:top w:w="40" w:type="dxa"/>
              <w:bottom w:w="40" w:type="dxa"/>
            </w:tcMar>
          </w:tcPr>
          <w:p w14:paraId="2F8712CB" w14:textId="77777777" w:rsidR="00734CBF" w:rsidRPr="00614EF9" w:rsidRDefault="00734CBF" w:rsidP="00734CBF">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48</w:t>
            </w:r>
          </w:p>
        </w:tc>
        <w:tc>
          <w:tcPr>
            <w:tcW w:w="1490" w:type="dxa"/>
            <w:tcMar>
              <w:top w:w="40" w:type="dxa"/>
              <w:bottom w:w="40" w:type="dxa"/>
            </w:tcMar>
          </w:tcPr>
          <w:p w14:paraId="6BE8CF35" w14:textId="77777777" w:rsidR="00734CBF" w:rsidRPr="00614EF9" w:rsidRDefault="00734CBF" w:rsidP="00734CBF">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Analogique</w:t>
            </w:r>
          </w:p>
        </w:tc>
        <w:tc>
          <w:tcPr>
            <w:tcW w:w="1275" w:type="dxa"/>
            <w:tcMar>
              <w:top w:w="40" w:type="dxa"/>
              <w:bottom w:w="40" w:type="dxa"/>
            </w:tcMar>
          </w:tcPr>
          <w:p w14:paraId="5D621FCF" w14:textId="77777777" w:rsidR="00734CBF" w:rsidRPr="00614EF9" w:rsidRDefault="00734CBF" w:rsidP="00734CBF">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0,250</w:t>
            </w:r>
          </w:p>
        </w:tc>
        <w:tc>
          <w:tcPr>
            <w:tcW w:w="3973" w:type="dxa"/>
            <w:tcMar>
              <w:top w:w="40" w:type="dxa"/>
              <w:bottom w:w="40" w:type="dxa"/>
            </w:tcMar>
          </w:tcPr>
          <w:p w14:paraId="186B3646" w14:textId="77777777" w:rsidR="00734CBF" w:rsidRPr="00614EF9" w:rsidRDefault="00734CBF" w:rsidP="00734CBF">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roofErr w:type="spellStart"/>
            <w:r w:rsidRPr="00614EF9">
              <w:rPr>
                <w:sz w:val="18"/>
                <w:szCs w:val="18"/>
                <w:lang w:val="fr-FR"/>
              </w:rPr>
              <w:t>Iférouane</w:t>
            </w:r>
            <w:proofErr w:type="spellEnd"/>
            <w:r w:rsidRPr="00614EF9">
              <w:rPr>
                <w:sz w:val="18"/>
                <w:szCs w:val="18"/>
                <w:lang w:val="fr-FR"/>
              </w:rPr>
              <w:t xml:space="preserve"> et alentours</w:t>
            </w:r>
          </w:p>
        </w:tc>
      </w:tr>
    </w:tbl>
    <w:p w14:paraId="7FCD5733" w14:textId="77777777" w:rsidR="005A7645" w:rsidRPr="00614EF9" w:rsidRDefault="005A7645" w:rsidP="005A7645">
      <w:pPr>
        <w:pStyle w:val="Lgende"/>
        <w:spacing w:before="120" w:after="120"/>
        <w:rPr>
          <w:color w:val="000000" w:themeColor="text1"/>
          <w:lang w:val="fr-FR"/>
        </w:rPr>
      </w:pPr>
      <w:bookmarkStart w:id="75" w:name="_Ref240360394"/>
      <w:bookmarkStart w:id="76" w:name="_Toc240614518"/>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4</w:t>
      </w:r>
      <w:r w:rsidRPr="00614EF9">
        <w:rPr>
          <w:color w:val="000000" w:themeColor="text1"/>
          <w:lang w:val="fr-FR"/>
        </w:rPr>
        <w:fldChar w:fldCharType="end"/>
      </w:r>
      <w:r w:rsidRPr="00614EF9">
        <w:rPr>
          <w:color w:val="000000" w:themeColor="text1"/>
          <w:lang w:val="fr-FR"/>
        </w:rPr>
        <w:t>: Inventaire des installations dans la bande 600 MHz</w:t>
      </w:r>
      <w:bookmarkEnd w:id="75"/>
      <w:bookmarkEnd w:id="76"/>
    </w:p>
    <w:p w14:paraId="03974C8C" w14:textId="77777777" w:rsidR="000614D8" w:rsidRPr="00614EF9" w:rsidRDefault="009514E2" w:rsidP="0066730D">
      <w:pPr>
        <w:pStyle w:val="Titre3"/>
        <w:rPr>
          <w:lang w:val="fr-FR"/>
        </w:rPr>
      </w:pPr>
      <w:bookmarkStart w:id="77" w:name="_Toc240614368"/>
      <w:r w:rsidRPr="00614EF9">
        <w:rPr>
          <w:lang w:val="fr-FR"/>
        </w:rPr>
        <w:t>Volet 700 MHz : Télévision analogique</w:t>
      </w:r>
      <w:bookmarkEnd w:id="77"/>
    </w:p>
    <w:p w14:paraId="5E60447D" w14:textId="7F519BEE" w:rsidR="003A2650" w:rsidRPr="00614EF9" w:rsidRDefault="005A7645">
      <w:pPr>
        <w:spacing w:before="60"/>
        <w:rPr>
          <w:lang w:val="fr-FR"/>
        </w:rPr>
      </w:pPr>
      <w:r w:rsidRPr="00614EF9">
        <w:rPr>
          <w:lang w:val="fr-FR"/>
        </w:rPr>
        <w:t xml:space="preserve">Les quatre émetteurs déclarés fonctionnent tous en modulation analogique. Le </w:t>
      </w:r>
      <w:r w:rsidR="002C4DEF" w:rsidRPr="00614EF9">
        <w:rPr>
          <w:lang w:val="fr-FR"/>
        </w:rPr>
        <w:fldChar w:fldCharType="begin"/>
      </w:r>
      <w:r w:rsidR="002C4DEF" w:rsidRPr="00614EF9">
        <w:rPr>
          <w:lang w:val="fr-FR"/>
        </w:rPr>
        <w:instrText xml:space="preserve"> REF _Ref240360626 \h </w:instrText>
      </w:r>
      <w:r w:rsidR="008D0439" w:rsidRPr="00614EF9">
        <w:rPr>
          <w:lang w:val="fr-FR"/>
        </w:rPr>
        <w:instrText xml:space="preserve"> \* MERGEFORMAT </w:instrText>
      </w:r>
      <w:r w:rsidR="002C4DEF" w:rsidRPr="00614EF9">
        <w:rPr>
          <w:lang w:val="fr-FR"/>
        </w:rPr>
      </w:r>
      <w:r w:rsidR="002C4DEF" w:rsidRPr="00614EF9">
        <w:rPr>
          <w:lang w:val="fr-FR"/>
        </w:rPr>
        <w:fldChar w:fldCharType="separate"/>
      </w:r>
      <w:r w:rsidR="002C4DEF" w:rsidRPr="00614EF9">
        <w:rPr>
          <w:color w:val="000000" w:themeColor="text1"/>
          <w:lang w:val="fr-FR"/>
        </w:rPr>
        <w:t xml:space="preserve">Tableau </w:t>
      </w:r>
      <w:r w:rsidR="002C4DEF" w:rsidRPr="00614EF9">
        <w:rPr>
          <w:noProof/>
          <w:color w:val="000000" w:themeColor="text1"/>
          <w:lang w:val="fr-FR"/>
        </w:rPr>
        <w:t>5</w:t>
      </w:r>
      <w:r w:rsidR="002C4DEF" w:rsidRPr="00614EF9">
        <w:rPr>
          <w:lang w:val="fr-FR"/>
        </w:rPr>
        <w:fldChar w:fldCharType="end"/>
      </w:r>
      <w:r w:rsidR="002C4DEF" w:rsidRPr="00614EF9">
        <w:rPr>
          <w:lang w:val="fr-FR"/>
        </w:rPr>
        <w:t xml:space="preserve"> </w:t>
      </w:r>
      <w:r w:rsidRPr="00614EF9">
        <w:rPr>
          <w:lang w:val="fr-FR"/>
        </w:rPr>
        <w:t>ci-dessous les récapitule.</w:t>
      </w:r>
    </w:p>
    <w:tbl>
      <w:tblPr>
        <w:tblStyle w:val="TableauGrille4-Accentuation3"/>
        <w:tblW w:w="9638" w:type="dxa"/>
        <w:jc w:val="center"/>
        <w:tblLayout w:type="fixed"/>
        <w:tblLook w:val="04A0" w:firstRow="1" w:lastRow="0" w:firstColumn="1" w:lastColumn="0" w:noHBand="0" w:noVBand="1"/>
      </w:tblPr>
      <w:tblGrid>
        <w:gridCol w:w="1696"/>
        <w:gridCol w:w="1134"/>
        <w:gridCol w:w="1560"/>
        <w:gridCol w:w="1275"/>
        <w:gridCol w:w="3973"/>
      </w:tblGrid>
      <w:tr w:rsidR="003A2650" w:rsidRPr="00614EF9" w14:paraId="45FB9E99" w14:textId="77777777" w:rsidTr="00F7794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2E306101" w14:textId="77777777" w:rsidR="003A2650" w:rsidRPr="00614EF9" w:rsidRDefault="009514E2">
            <w:pPr>
              <w:spacing w:before="20" w:after="20"/>
              <w:rPr>
                <w:lang w:val="fr-FR"/>
              </w:rPr>
            </w:pPr>
            <w:r w:rsidRPr="00614EF9">
              <w:rPr>
                <w:color w:val="FFFFFF"/>
                <w:sz w:val="18"/>
                <w:szCs w:val="18"/>
                <w:lang w:val="fr-FR"/>
              </w:rPr>
              <w:t>Site</w:t>
            </w:r>
          </w:p>
        </w:tc>
        <w:tc>
          <w:tcPr>
            <w:tcW w:w="1134" w:type="dxa"/>
            <w:tcMar>
              <w:top w:w="40" w:type="dxa"/>
              <w:bottom w:w="40" w:type="dxa"/>
            </w:tcMar>
          </w:tcPr>
          <w:p w14:paraId="110624EE"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Canal UHF</w:t>
            </w:r>
          </w:p>
        </w:tc>
        <w:tc>
          <w:tcPr>
            <w:tcW w:w="1560" w:type="dxa"/>
            <w:tcMar>
              <w:top w:w="40" w:type="dxa"/>
              <w:bottom w:w="40" w:type="dxa"/>
            </w:tcMar>
          </w:tcPr>
          <w:p w14:paraId="33C36F77"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Norme</w:t>
            </w:r>
          </w:p>
        </w:tc>
        <w:tc>
          <w:tcPr>
            <w:tcW w:w="1275" w:type="dxa"/>
            <w:tcMar>
              <w:top w:w="40" w:type="dxa"/>
              <w:bottom w:w="40" w:type="dxa"/>
            </w:tcMar>
          </w:tcPr>
          <w:p w14:paraId="6B97FA20"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proofErr w:type="spellStart"/>
            <w:r w:rsidRPr="00614EF9">
              <w:rPr>
                <w:color w:val="FFFFFF"/>
                <w:sz w:val="18"/>
                <w:szCs w:val="18"/>
                <w:lang w:val="fr-FR"/>
              </w:rPr>
              <w:t>P.i.r.e</w:t>
            </w:r>
            <w:proofErr w:type="spellEnd"/>
            <w:r w:rsidRPr="00614EF9">
              <w:rPr>
                <w:color w:val="FFFFFF"/>
                <w:sz w:val="18"/>
                <w:szCs w:val="18"/>
                <w:lang w:val="fr-FR"/>
              </w:rPr>
              <w:t>. (kW)</w:t>
            </w:r>
          </w:p>
        </w:tc>
        <w:tc>
          <w:tcPr>
            <w:tcW w:w="3973" w:type="dxa"/>
            <w:tcMar>
              <w:top w:w="40" w:type="dxa"/>
              <w:bottom w:w="40" w:type="dxa"/>
            </w:tcMar>
          </w:tcPr>
          <w:p w14:paraId="40638BEB"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Hauteur (m)</w:t>
            </w:r>
          </w:p>
        </w:tc>
      </w:tr>
      <w:tr w:rsidR="003A2650" w:rsidRPr="00614EF9" w14:paraId="2A2E1B2D" w14:textId="77777777" w:rsidTr="00F779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61002075" w14:textId="77777777" w:rsidR="003A2650" w:rsidRPr="00614EF9" w:rsidRDefault="009514E2">
            <w:pPr>
              <w:spacing w:before="20" w:after="20"/>
              <w:rPr>
                <w:b w:val="0"/>
                <w:bCs w:val="0"/>
                <w:lang w:val="fr-FR"/>
              </w:rPr>
            </w:pPr>
            <w:proofErr w:type="spellStart"/>
            <w:r w:rsidRPr="00614EF9">
              <w:rPr>
                <w:b w:val="0"/>
                <w:bCs w:val="0"/>
                <w:sz w:val="18"/>
                <w:szCs w:val="18"/>
                <w:lang w:val="fr-FR"/>
              </w:rPr>
              <w:t>Matameye</w:t>
            </w:r>
            <w:proofErr w:type="spellEnd"/>
          </w:p>
        </w:tc>
        <w:tc>
          <w:tcPr>
            <w:tcW w:w="1134" w:type="dxa"/>
            <w:tcMar>
              <w:top w:w="40" w:type="dxa"/>
              <w:bottom w:w="40" w:type="dxa"/>
            </w:tcMar>
          </w:tcPr>
          <w:p w14:paraId="5CEA1047" w14:textId="77777777" w:rsidR="003A2650" w:rsidRPr="00614EF9" w:rsidRDefault="009514E2" w:rsidP="00F77946">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49</w:t>
            </w:r>
          </w:p>
        </w:tc>
        <w:tc>
          <w:tcPr>
            <w:tcW w:w="1560" w:type="dxa"/>
            <w:tcMar>
              <w:top w:w="40" w:type="dxa"/>
              <w:bottom w:w="40" w:type="dxa"/>
            </w:tcMar>
          </w:tcPr>
          <w:p w14:paraId="1A7F6397" w14:textId="77777777" w:rsidR="003A2650" w:rsidRPr="00614EF9" w:rsidRDefault="009514E2" w:rsidP="00F77946">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Analogique</w:t>
            </w:r>
          </w:p>
        </w:tc>
        <w:tc>
          <w:tcPr>
            <w:tcW w:w="1275" w:type="dxa"/>
            <w:tcMar>
              <w:top w:w="40" w:type="dxa"/>
              <w:bottom w:w="40" w:type="dxa"/>
            </w:tcMar>
          </w:tcPr>
          <w:p w14:paraId="241C4BA2" w14:textId="77777777" w:rsidR="003A2650" w:rsidRPr="00614EF9" w:rsidRDefault="009514E2" w:rsidP="00F77946">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0,100</w:t>
            </w:r>
          </w:p>
        </w:tc>
        <w:tc>
          <w:tcPr>
            <w:tcW w:w="3973" w:type="dxa"/>
            <w:tcMar>
              <w:top w:w="40" w:type="dxa"/>
              <w:bottom w:w="40" w:type="dxa"/>
            </w:tcMar>
          </w:tcPr>
          <w:p w14:paraId="6C8E4D08"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Non renseignée</w:t>
            </w:r>
          </w:p>
        </w:tc>
      </w:tr>
      <w:tr w:rsidR="003A2650" w:rsidRPr="00614EF9" w14:paraId="28CCB70E" w14:textId="77777777" w:rsidTr="00F77946">
        <w:trP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45D55D25" w14:textId="77777777" w:rsidR="003A2650" w:rsidRPr="00614EF9" w:rsidRDefault="009514E2">
            <w:pPr>
              <w:spacing w:before="20" w:after="20"/>
              <w:rPr>
                <w:b w:val="0"/>
                <w:bCs w:val="0"/>
                <w:lang w:val="fr-FR"/>
              </w:rPr>
            </w:pPr>
            <w:proofErr w:type="spellStart"/>
            <w:r w:rsidRPr="00614EF9">
              <w:rPr>
                <w:b w:val="0"/>
                <w:bCs w:val="0"/>
                <w:sz w:val="18"/>
                <w:szCs w:val="18"/>
                <w:lang w:val="fr-FR"/>
              </w:rPr>
              <w:t>Ouallam</w:t>
            </w:r>
            <w:proofErr w:type="spellEnd"/>
          </w:p>
        </w:tc>
        <w:tc>
          <w:tcPr>
            <w:tcW w:w="1134" w:type="dxa"/>
            <w:tcMar>
              <w:top w:w="40" w:type="dxa"/>
              <w:bottom w:w="40" w:type="dxa"/>
            </w:tcMar>
          </w:tcPr>
          <w:p w14:paraId="25633F71" w14:textId="77777777" w:rsidR="003A2650" w:rsidRPr="00614EF9" w:rsidRDefault="009514E2" w:rsidP="00F77946">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50</w:t>
            </w:r>
          </w:p>
        </w:tc>
        <w:tc>
          <w:tcPr>
            <w:tcW w:w="1560" w:type="dxa"/>
            <w:tcMar>
              <w:top w:w="40" w:type="dxa"/>
              <w:bottom w:w="40" w:type="dxa"/>
            </w:tcMar>
          </w:tcPr>
          <w:p w14:paraId="6B859436" w14:textId="77777777" w:rsidR="003A2650" w:rsidRPr="00614EF9" w:rsidRDefault="009514E2" w:rsidP="00F77946">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Analogique</w:t>
            </w:r>
          </w:p>
        </w:tc>
        <w:tc>
          <w:tcPr>
            <w:tcW w:w="1275" w:type="dxa"/>
            <w:tcMar>
              <w:top w:w="40" w:type="dxa"/>
              <w:bottom w:w="40" w:type="dxa"/>
            </w:tcMar>
          </w:tcPr>
          <w:p w14:paraId="7E93C45D" w14:textId="77777777" w:rsidR="003A2650" w:rsidRPr="00614EF9" w:rsidRDefault="009514E2" w:rsidP="00F77946">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0,025</w:t>
            </w:r>
          </w:p>
        </w:tc>
        <w:tc>
          <w:tcPr>
            <w:tcW w:w="3973" w:type="dxa"/>
            <w:tcMar>
              <w:top w:w="40" w:type="dxa"/>
              <w:bottom w:w="40" w:type="dxa"/>
            </w:tcMar>
          </w:tcPr>
          <w:p w14:paraId="05E12172"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Non renseignée</w:t>
            </w:r>
          </w:p>
        </w:tc>
      </w:tr>
      <w:tr w:rsidR="00734CBF" w:rsidRPr="00614EF9" w14:paraId="5602FCED" w14:textId="77777777" w:rsidTr="00F779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5097671B" w14:textId="77777777" w:rsidR="00734CBF" w:rsidRPr="00614EF9" w:rsidRDefault="00734CBF" w:rsidP="00734CBF">
            <w:pPr>
              <w:spacing w:before="20" w:after="20"/>
              <w:rPr>
                <w:b w:val="0"/>
                <w:bCs w:val="0"/>
                <w:sz w:val="18"/>
                <w:szCs w:val="18"/>
                <w:lang w:val="fr-FR"/>
              </w:rPr>
            </w:pPr>
            <w:proofErr w:type="spellStart"/>
            <w:r w:rsidRPr="00614EF9">
              <w:rPr>
                <w:b w:val="0"/>
                <w:bCs w:val="0"/>
                <w:sz w:val="18"/>
                <w:szCs w:val="18"/>
                <w:lang w:val="fr-FR"/>
              </w:rPr>
              <w:t>Mayahi</w:t>
            </w:r>
            <w:proofErr w:type="spellEnd"/>
          </w:p>
        </w:tc>
        <w:tc>
          <w:tcPr>
            <w:tcW w:w="1134" w:type="dxa"/>
            <w:tcMar>
              <w:top w:w="40" w:type="dxa"/>
              <w:bottom w:w="40" w:type="dxa"/>
            </w:tcMar>
          </w:tcPr>
          <w:p w14:paraId="5B5B5A89" w14:textId="77777777" w:rsidR="00734CBF" w:rsidRPr="00614EF9" w:rsidRDefault="00734CBF" w:rsidP="00F77946">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51</w:t>
            </w:r>
          </w:p>
        </w:tc>
        <w:tc>
          <w:tcPr>
            <w:tcW w:w="1560" w:type="dxa"/>
            <w:tcMar>
              <w:top w:w="40" w:type="dxa"/>
              <w:bottom w:w="40" w:type="dxa"/>
            </w:tcMar>
          </w:tcPr>
          <w:p w14:paraId="5AAD30E7" w14:textId="77777777" w:rsidR="00734CBF" w:rsidRPr="00614EF9" w:rsidRDefault="00734CBF" w:rsidP="00F77946">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Analogique</w:t>
            </w:r>
          </w:p>
        </w:tc>
        <w:tc>
          <w:tcPr>
            <w:tcW w:w="1275" w:type="dxa"/>
            <w:tcMar>
              <w:top w:w="40" w:type="dxa"/>
              <w:bottom w:w="40" w:type="dxa"/>
            </w:tcMar>
          </w:tcPr>
          <w:p w14:paraId="413A06C7" w14:textId="77777777" w:rsidR="00734CBF" w:rsidRPr="00614EF9" w:rsidRDefault="00734CBF" w:rsidP="00F77946">
            <w:pPr>
              <w:spacing w:before="20" w:after="20"/>
              <w:jc w:val="cente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0,025</w:t>
            </w:r>
          </w:p>
        </w:tc>
        <w:tc>
          <w:tcPr>
            <w:tcW w:w="3973" w:type="dxa"/>
            <w:tcMar>
              <w:top w:w="40" w:type="dxa"/>
              <w:bottom w:w="40" w:type="dxa"/>
            </w:tcMar>
          </w:tcPr>
          <w:p w14:paraId="6A22D99B" w14:textId="77777777" w:rsidR="00734CBF" w:rsidRPr="00614EF9" w:rsidRDefault="00734CBF" w:rsidP="00734CBF">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Non renseignée</w:t>
            </w:r>
          </w:p>
        </w:tc>
      </w:tr>
      <w:tr w:rsidR="00734CBF" w:rsidRPr="00614EF9" w14:paraId="45AED5BC" w14:textId="77777777" w:rsidTr="00F77946">
        <w:trPr>
          <w:jc w:val="center"/>
        </w:trPr>
        <w:tc>
          <w:tcPr>
            <w:cnfStyle w:val="001000000000" w:firstRow="0" w:lastRow="0" w:firstColumn="1" w:lastColumn="0" w:oddVBand="0" w:evenVBand="0" w:oddHBand="0" w:evenHBand="0" w:firstRowFirstColumn="0" w:firstRowLastColumn="0" w:lastRowFirstColumn="0" w:lastRowLastColumn="0"/>
            <w:tcW w:w="1696" w:type="dxa"/>
            <w:tcMar>
              <w:top w:w="40" w:type="dxa"/>
              <w:bottom w:w="40" w:type="dxa"/>
            </w:tcMar>
          </w:tcPr>
          <w:p w14:paraId="4BAE0656" w14:textId="77777777" w:rsidR="00734CBF" w:rsidRPr="00614EF9" w:rsidRDefault="00734CBF" w:rsidP="00734CBF">
            <w:pPr>
              <w:spacing w:before="20" w:after="20"/>
              <w:rPr>
                <w:b w:val="0"/>
                <w:bCs w:val="0"/>
                <w:sz w:val="18"/>
                <w:szCs w:val="18"/>
                <w:lang w:val="fr-FR"/>
              </w:rPr>
            </w:pPr>
            <w:proofErr w:type="spellStart"/>
            <w:r w:rsidRPr="00614EF9">
              <w:rPr>
                <w:b w:val="0"/>
                <w:bCs w:val="0"/>
                <w:sz w:val="18"/>
                <w:szCs w:val="18"/>
                <w:lang w:val="fr-FR"/>
              </w:rPr>
              <w:t>Dirkou</w:t>
            </w:r>
            <w:proofErr w:type="spellEnd"/>
          </w:p>
        </w:tc>
        <w:tc>
          <w:tcPr>
            <w:tcW w:w="1134" w:type="dxa"/>
            <w:tcMar>
              <w:top w:w="40" w:type="dxa"/>
              <w:bottom w:w="40" w:type="dxa"/>
            </w:tcMar>
          </w:tcPr>
          <w:p w14:paraId="6E35DCD8" w14:textId="77777777" w:rsidR="00734CBF" w:rsidRPr="00614EF9" w:rsidRDefault="00734CBF" w:rsidP="00F77946">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53</w:t>
            </w:r>
          </w:p>
        </w:tc>
        <w:tc>
          <w:tcPr>
            <w:tcW w:w="1560" w:type="dxa"/>
            <w:tcMar>
              <w:top w:w="40" w:type="dxa"/>
              <w:bottom w:w="40" w:type="dxa"/>
            </w:tcMar>
          </w:tcPr>
          <w:p w14:paraId="23662EE0" w14:textId="77777777" w:rsidR="00734CBF" w:rsidRPr="00614EF9" w:rsidRDefault="00734CBF" w:rsidP="00F77946">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Analogique</w:t>
            </w:r>
          </w:p>
        </w:tc>
        <w:tc>
          <w:tcPr>
            <w:tcW w:w="1275" w:type="dxa"/>
            <w:tcMar>
              <w:top w:w="40" w:type="dxa"/>
              <w:bottom w:w="40" w:type="dxa"/>
            </w:tcMar>
          </w:tcPr>
          <w:p w14:paraId="22210A23" w14:textId="77777777" w:rsidR="00734CBF" w:rsidRPr="00614EF9" w:rsidRDefault="00734CBF" w:rsidP="00F77946">
            <w:pPr>
              <w:spacing w:before="20" w:after="20"/>
              <w:jc w:val="cente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0,020</w:t>
            </w:r>
          </w:p>
        </w:tc>
        <w:tc>
          <w:tcPr>
            <w:tcW w:w="3973" w:type="dxa"/>
            <w:tcMar>
              <w:top w:w="40" w:type="dxa"/>
              <w:bottom w:w="40" w:type="dxa"/>
            </w:tcMar>
          </w:tcPr>
          <w:p w14:paraId="688EB47C" w14:textId="77777777" w:rsidR="00734CBF" w:rsidRPr="00614EF9" w:rsidRDefault="00734CBF" w:rsidP="00734CBF">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30</w:t>
            </w:r>
          </w:p>
        </w:tc>
      </w:tr>
    </w:tbl>
    <w:p w14:paraId="5F4A5B39" w14:textId="77777777" w:rsidR="00F67AC3" w:rsidRPr="00614EF9" w:rsidRDefault="00F67AC3" w:rsidP="00F67AC3">
      <w:pPr>
        <w:pStyle w:val="Lgende"/>
        <w:spacing w:before="120" w:after="120"/>
        <w:rPr>
          <w:color w:val="000000" w:themeColor="text1"/>
          <w:lang w:val="fr-FR"/>
        </w:rPr>
      </w:pPr>
      <w:bookmarkStart w:id="78" w:name="_Ref240360626"/>
      <w:bookmarkStart w:id="79" w:name="_Toc240614519"/>
      <w:r w:rsidRPr="00614EF9">
        <w:rPr>
          <w:color w:val="000000" w:themeColor="text1"/>
          <w:lang w:val="fr-FR"/>
        </w:rPr>
        <w:lastRenderedPageBreak/>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5</w:t>
      </w:r>
      <w:r w:rsidRPr="00614EF9">
        <w:rPr>
          <w:color w:val="000000" w:themeColor="text1"/>
          <w:lang w:val="fr-FR"/>
        </w:rPr>
        <w:fldChar w:fldCharType="end"/>
      </w:r>
      <w:r w:rsidRPr="00614EF9">
        <w:rPr>
          <w:color w:val="000000" w:themeColor="text1"/>
          <w:lang w:val="fr-FR"/>
        </w:rPr>
        <w:t>: Inventaire des installations dans la bande 700 MHz</w:t>
      </w:r>
      <w:bookmarkEnd w:id="78"/>
      <w:bookmarkEnd w:id="79"/>
    </w:p>
    <w:p w14:paraId="429A6FF3" w14:textId="77777777" w:rsidR="00B765D3" w:rsidRPr="00614EF9" w:rsidRDefault="00061318">
      <w:pPr>
        <w:spacing w:before="60"/>
        <w:rPr>
          <w:szCs w:val="24"/>
          <w:lang w:val="fr-FR"/>
        </w:rPr>
      </w:pPr>
      <w:r w:rsidRPr="00614EF9">
        <w:rPr>
          <w:lang w:val="fr-FR"/>
        </w:rPr>
        <w:t>La bande 700 MHz reçoit en outre des produits d’intermodulation issus de la radiodiffusion sonore à modulation de fréquence.</w:t>
      </w:r>
    </w:p>
    <w:p w14:paraId="39C599BD" w14:textId="77777777" w:rsidR="00F67AC3" w:rsidRPr="00614EF9" w:rsidRDefault="00E32006">
      <w:pPr>
        <w:spacing w:before="60"/>
        <w:rPr>
          <w:szCs w:val="24"/>
          <w:lang w:val="fr-FR"/>
        </w:rPr>
      </w:pPr>
      <w:r w:rsidRPr="00614EF9">
        <w:rPr>
          <w:szCs w:val="24"/>
          <w:lang w:val="fr-FR"/>
        </w:rPr>
        <w:t xml:space="preserve">La liste des sites d’émission incriminés est indiquée dans le </w:t>
      </w:r>
      <w:r w:rsidRPr="00614EF9">
        <w:rPr>
          <w:color w:val="000000" w:themeColor="text1"/>
          <w:lang w:val="fr-FR"/>
        </w:rPr>
        <w:t xml:space="preserve">Tableau </w:t>
      </w:r>
      <w:r w:rsidRPr="00614EF9">
        <w:rPr>
          <w:noProof/>
          <w:color w:val="000000" w:themeColor="text1"/>
          <w:lang w:val="fr-FR"/>
        </w:rPr>
        <w:t>6</w:t>
      </w:r>
      <w:r w:rsidRPr="00614EF9">
        <w:rPr>
          <w:szCs w:val="24"/>
          <w:lang w:val="fr-FR"/>
        </w:rPr>
        <w:t xml:space="preserve"> ci-après.</w:t>
      </w:r>
    </w:p>
    <w:tbl>
      <w:tblPr>
        <w:tblStyle w:val="TableauGrille4-Accentuation3"/>
        <w:tblW w:w="9603" w:type="dxa"/>
        <w:jc w:val="center"/>
        <w:tblLayout w:type="fixed"/>
        <w:tblLook w:val="04A0" w:firstRow="1" w:lastRow="0" w:firstColumn="1" w:lastColumn="0" w:noHBand="0" w:noVBand="1"/>
      </w:tblPr>
      <w:tblGrid>
        <w:gridCol w:w="4248"/>
        <w:gridCol w:w="1984"/>
        <w:gridCol w:w="1833"/>
        <w:gridCol w:w="1538"/>
      </w:tblGrid>
      <w:tr w:rsidR="00484086" w:rsidRPr="00E74BB7" w14:paraId="3438C961" w14:textId="77777777" w:rsidTr="0048408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7B8BD399" w14:textId="77777777" w:rsidR="00484086" w:rsidRPr="00E74BB7" w:rsidRDefault="00484086">
            <w:pPr>
              <w:spacing w:before="20" w:after="20"/>
              <w:rPr>
                <w:sz w:val="20"/>
                <w:szCs w:val="20"/>
                <w:lang w:val="fr-FR"/>
              </w:rPr>
            </w:pPr>
            <w:r w:rsidRPr="00E74BB7">
              <w:rPr>
                <w:color w:val="FFFFFF"/>
                <w:sz w:val="20"/>
                <w:szCs w:val="20"/>
                <w:lang w:val="fr-FR"/>
              </w:rPr>
              <w:t>Site</w:t>
            </w:r>
          </w:p>
        </w:tc>
        <w:tc>
          <w:tcPr>
            <w:tcW w:w="1984" w:type="dxa"/>
            <w:tcMar>
              <w:top w:w="40" w:type="dxa"/>
              <w:bottom w:w="40" w:type="dxa"/>
            </w:tcMar>
          </w:tcPr>
          <w:p w14:paraId="3E419649" w14:textId="77777777" w:rsidR="00484086" w:rsidRPr="00E74BB7" w:rsidRDefault="00484086" w:rsidP="00E74BB7">
            <w:pPr>
              <w:spacing w:before="20" w:after="20"/>
              <w:jc w:val="center"/>
              <w:cnfStyle w:val="100000000000" w:firstRow="1" w:lastRow="0" w:firstColumn="0" w:lastColumn="0" w:oddVBand="0" w:evenVBand="0" w:oddHBand="0" w:evenHBand="0" w:firstRowFirstColumn="0" w:firstRowLastColumn="0" w:lastRowFirstColumn="0" w:lastRowLastColumn="0"/>
              <w:rPr>
                <w:sz w:val="20"/>
                <w:szCs w:val="20"/>
                <w:lang w:val="fr-FR"/>
              </w:rPr>
            </w:pPr>
            <w:r w:rsidRPr="00E74BB7">
              <w:rPr>
                <w:color w:val="FFFFFF"/>
                <w:sz w:val="20"/>
                <w:szCs w:val="20"/>
                <w:lang w:val="fr-FR"/>
              </w:rPr>
              <w:t>Fréquence (MHz)</w:t>
            </w:r>
          </w:p>
        </w:tc>
        <w:tc>
          <w:tcPr>
            <w:tcW w:w="1833" w:type="dxa"/>
            <w:tcMar>
              <w:top w:w="40" w:type="dxa"/>
              <w:bottom w:w="40" w:type="dxa"/>
            </w:tcMar>
          </w:tcPr>
          <w:p w14:paraId="2EA4E960" w14:textId="77777777" w:rsidR="00484086" w:rsidRPr="00E74BB7" w:rsidRDefault="00484086" w:rsidP="00E74BB7">
            <w:pPr>
              <w:spacing w:before="20" w:after="20"/>
              <w:jc w:val="center"/>
              <w:cnfStyle w:val="100000000000" w:firstRow="1" w:lastRow="0" w:firstColumn="0" w:lastColumn="0" w:oddVBand="0" w:evenVBand="0" w:oddHBand="0" w:evenHBand="0" w:firstRowFirstColumn="0" w:firstRowLastColumn="0" w:lastRowFirstColumn="0" w:lastRowLastColumn="0"/>
              <w:rPr>
                <w:sz w:val="20"/>
                <w:szCs w:val="20"/>
                <w:lang w:val="fr-FR"/>
              </w:rPr>
            </w:pPr>
            <w:r w:rsidRPr="00E74BB7">
              <w:rPr>
                <w:color w:val="FFFFFF"/>
                <w:sz w:val="20"/>
                <w:szCs w:val="20"/>
                <w:lang w:val="fr-FR"/>
              </w:rPr>
              <w:t>Co-implantation</w:t>
            </w:r>
          </w:p>
        </w:tc>
        <w:tc>
          <w:tcPr>
            <w:tcW w:w="1538" w:type="dxa"/>
            <w:tcMar>
              <w:top w:w="40" w:type="dxa"/>
              <w:bottom w:w="40" w:type="dxa"/>
            </w:tcMar>
          </w:tcPr>
          <w:p w14:paraId="0799D97A" w14:textId="77777777" w:rsidR="00484086" w:rsidRPr="00E74BB7" w:rsidRDefault="00484086" w:rsidP="00E74BB7">
            <w:pPr>
              <w:spacing w:before="20" w:after="20"/>
              <w:jc w:val="center"/>
              <w:cnfStyle w:val="100000000000" w:firstRow="1" w:lastRow="0" w:firstColumn="0" w:lastColumn="0" w:oddVBand="0" w:evenVBand="0" w:oddHBand="0" w:evenHBand="0" w:firstRowFirstColumn="0" w:firstRowLastColumn="0" w:lastRowFirstColumn="0" w:lastRowLastColumn="0"/>
              <w:rPr>
                <w:sz w:val="20"/>
                <w:szCs w:val="20"/>
                <w:lang w:val="fr-FR"/>
              </w:rPr>
            </w:pPr>
            <w:r w:rsidRPr="00E74BB7">
              <w:rPr>
                <w:color w:val="FFFFFF"/>
                <w:sz w:val="20"/>
                <w:szCs w:val="20"/>
                <w:lang w:val="fr-FR"/>
              </w:rPr>
              <w:t>Filtrage</w:t>
            </w:r>
          </w:p>
        </w:tc>
      </w:tr>
      <w:tr w:rsidR="00484086" w:rsidRPr="00E74BB7" w14:paraId="48102626"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01926097" w14:textId="6E175AA4" w:rsidR="00484086" w:rsidRPr="00E74BB7" w:rsidRDefault="00484086" w:rsidP="0083054A">
            <w:pPr>
              <w:spacing w:before="0" w:after="0"/>
              <w:rPr>
                <w:b w:val="0"/>
                <w:bCs w:val="0"/>
                <w:sz w:val="20"/>
                <w:szCs w:val="20"/>
                <w:lang w:val="fr-FR"/>
              </w:rPr>
            </w:pPr>
            <w:r w:rsidRPr="00E74BB7">
              <w:rPr>
                <w:b w:val="0"/>
                <w:bCs w:val="0"/>
                <w:sz w:val="20"/>
                <w:szCs w:val="20"/>
                <w:lang w:val="fr-FR"/>
              </w:rPr>
              <w:t>RTN Tillabéri</w:t>
            </w:r>
          </w:p>
        </w:tc>
        <w:tc>
          <w:tcPr>
            <w:tcW w:w="1984" w:type="dxa"/>
            <w:tcMar>
              <w:top w:w="40" w:type="dxa"/>
              <w:bottom w:w="40" w:type="dxa"/>
            </w:tcMar>
          </w:tcPr>
          <w:p w14:paraId="679025DE" w14:textId="5ABD9E4F"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99</w:t>
            </w:r>
          </w:p>
        </w:tc>
        <w:tc>
          <w:tcPr>
            <w:tcW w:w="1833" w:type="dxa"/>
            <w:tcMar>
              <w:top w:w="40" w:type="dxa"/>
              <w:bottom w:w="40" w:type="dxa"/>
            </w:tcMar>
          </w:tcPr>
          <w:p w14:paraId="2E059B2E" w14:textId="15E768DD"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Oui</w:t>
            </w:r>
          </w:p>
        </w:tc>
        <w:tc>
          <w:tcPr>
            <w:tcW w:w="1538" w:type="dxa"/>
            <w:tcMar>
              <w:top w:w="40" w:type="dxa"/>
              <w:bottom w:w="40" w:type="dxa"/>
            </w:tcMar>
          </w:tcPr>
          <w:p w14:paraId="281EFE57" w14:textId="339E5C7C"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0FBCAD96"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2E9451C7" w14:textId="711B5791" w:rsidR="00484086" w:rsidRPr="00E74BB7" w:rsidRDefault="00484086" w:rsidP="00985A3D">
            <w:pPr>
              <w:spacing w:before="0" w:after="0"/>
              <w:rPr>
                <w:b w:val="0"/>
                <w:bCs w:val="0"/>
                <w:sz w:val="20"/>
                <w:szCs w:val="20"/>
                <w:lang w:val="fr-FR"/>
              </w:rPr>
            </w:pPr>
            <w:proofErr w:type="spellStart"/>
            <w:r w:rsidRPr="00E74BB7">
              <w:rPr>
                <w:b w:val="0"/>
                <w:bCs w:val="0"/>
                <w:sz w:val="20"/>
                <w:szCs w:val="20"/>
                <w:lang w:val="fr-FR"/>
              </w:rPr>
              <w:t>Fara’a</w:t>
            </w:r>
            <w:proofErr w:type="spellEnd"/>
            <w:r w:rsidRPr="00E74BB7">
              <w:rPr>
                <w:b w:val="0"/>
                <w:bCs w:val="0"/>
                <w:sz w:val="20"/>
                <w:szCs w:val="20"/>
                <w:lang w:val="fr-FR"/>
              </w:rPr>
              <w:t xml:space="preserve"> FM Dosso</w:t>
            </w:r>
          </w:p>
        </w:tc>
        <w:tc>
          <w:tcPr>
            <w:tcW w:w="1984" w:type="dxa"/>
            <w:tcMar>
              <w:top w:w="40" w:type="dxa"/>
              <w:bottom w:w="40" w:type="dxa"/>
            </w:tcMar>
          </w:tcPr>
          <w:p w14:paraId="0B120E32" w14:textId="6007666F"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92</w:t>
            </w:r>
          </w:p>
        </w:tc>
        <w:tc>
          <w:tcPr>
            <w:tcW w:w="1833" w:type="dxa"/>
            <w:tcMar>
              <w:top w:w="40" w:type="dxa"/>
              <w:bottom w:w="40" w:type="dxa"/>
            </w:tcMar>
          </w:tcPr>
          <w:p w14:paraId="69CDFE88" w14:textId="7C502743"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1EAA8BAA" w14:textId="5D4EBE1D"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73D21CE2"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545C0924" w14:textId="1CC69FEC" w:rsidR="00484086" w:rsidRPr="00E74BB7" w:rsidRDefault="00484086" w:rsidP="00985A3D">
            <w:pPr>
              <w:spacing w:before="0" w:after="0"/>
              <w:rPr>
                <w:b w:val="0"/>
                <w:bCs w:val="0"/>
                <w:sz w:val="20"/>
                <w:szCs w:val="20"/>
                <w:lang w:val="fr-FR"/>
              </w:rPr>
            </w:pPr>
            <w:r w:rsidRPr="00E74BB7">
              <w:rPr>
                <w:b w:val="0"/>
                <w:bCs w:val="0"/>
                <w:sz w:val="20"/>
                <w:szCs w:val="20"/>
                <w:lang w:val="fr-FR"/>
              </w:rPr>
              <w:t>RTN Maradi</w:t>
            </w:r>
          </w:p>
        </w:tc>
        <w:tc>
          <w:tcPr>
            <w:tcW w:w="1984" w:type="dxa"/>
            <w:tcMar>
              <w:top w:w="40" w:type="dxa"/>
              <w:bottom w:w="40" w:type="dxa"/>
            </w:tcMar>
          </w:tcPr>
          <w:p w14:paraId="69D78603" w14:textId="2C7B5E87"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88.5</w:t>
            </w:r>
          </w:p>
        </w:tc>
        <w:tc>
          <w:tcPr>
            <w:tcW w:w="1833" w:type="dxa"/>
            <w:tcMar>
              <w:top w:w="40" w:type="dxa"/>
              <w:bottom w:w="40" w:type="dxa"/>
            </w:tcMar>
          </w:tcPr>
          <w:p w14:paraId="1F783454" w14:textId="7FE58FAF"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Oui</w:t>
            </w:r>
          </w:p>
        </w:tc>
        <w:tc>
          <w:tcPr>
            <w:tcW w:w="1538" w:type="dxa"/>
            <w:tcMar>
              <w:top w:w="40" w:type="dxa"/>
              <w:bottom w:w="40" w:type="dxa"/>
            </w:tcMar>
          </w:tcPr>
          <w:p w14:paraId="617C2CDE" w14:textId="30E039CD"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72663364"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5EAAFAF1" w14:textId="3F2D88DB" w:rsidR="00484086" w:rsidRPr="00E74BB7" w:rsidRDefault="00484086" w:rsidP="00985A3D">
            <w:pPr>
              <w:spacing w:before="0" w:after="0"/>
              <w:rPr>
                <w:b w:val="0"/>
                <w:bCs w:val="0"/>
                <w:sz w:val="20"/>
                <w:szCs w:val="20"/>
                <w:lang w:val="fr-FR"/>
              </w:rPr>
            </w:pPr>
            <w:proofErr w:type="spellStart"/>
            <w:r w:rsidRPr="00E74BB7">
              <w:rPr>
                <w:b w:val="0"/>
                <w:bCs w:val="0"/>
                <w:sz w:val="20"/>
                <w:szCs w:val="20"/>
                <w:lang w:val="fr-FR"/>
              </w:rPr>
              <w:t>Garkua</w:t>
            </w:r>
            <w:proofErr w:type="spellEnd"/>
            <w:r w:rsidRPr="00E74BB7">
              <w:rPr>
                <w:b w:val="0"/>
                <w:bCs w:val="0"/>
                <w:sz w:val="20"/>
                <w:szCs w:val="20"/>
                <w:lang w:val="fr-FR"/>
              </w:rPr>
              <w:t xml:space="preserve"> FM</w:t>
            </w:r>
          </w:p>
        </w:tc>
        <w:tc>
          <w:tcPr>
            <w:tcW w:w="1984" w:type="dxa"/>
            <w:tcMar>
              <w:top w:w="40" w:type="dxa"/>
              <w:bottom w:w="40" w:type="dxa"/>
            </w:tcMar>
          </w:tcPr>
          <w:p w14:paraId="6069DE85" w14:textId="06C264D5"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100.5</w:t>
            </w:r>
          </w:p>
        </w:tc>
        <w:tc>
          <w:tcPr>
            <w:tcW w:w="1833" w:type="dxa"/>
            <w:tcMar>
              <w:top w:w="40" w:type="dxa"/>
              <w:bottom w:w="40" w:type="dxa"/>
            </w:tcMar>
          </w:tcPr>
          <w:p w14:paraId="51BF258E" w14:textId="7C34805B"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2D10A3BC" w14:textId="25162A17"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1020DC96"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55CE8A33" w14:textId="7895F215" w:rsidR="00484086" w:rsidRPr="00E74BB7" w:rsidRDefault="00484086" w:rsidP="00985A3D">
            <w:pPr>
              <w:spacing w:before="0" w:after="0"/>
              <w:rPr>
                <w:b w:val="0"/>
                <w:bCs w:val="0"/>
                <w:sz w:val="20"/>
                <w:szCs w:val="20"/>
                <w:lang w:val="fr-FR"/>
              </w:rPr>
            </w:pPr>
            <w:r w:rsidRPr="00E74BB7">
              <w:rPr>
                <w:b w:val="0"/>
                <w:bCs w:val="0"/>
                <w:sz w:val="20"/>
                <w:szCs w:val="20"/>
                <w:lang w:val="fr-FR"/>
              </w:rPr>
              <w:t>Radio Rahama Tahoua</w:t>
            </w:r>
          </w:p>
        </w:tc>
        <w:tc>
          <w:tcPr>
            <w:tcW w:w="1984" w:type="dxa"/>
            <w:tcMar>
              <w:top w:w="40" w:type="dxa"/>
              <w:bottom w:w="40" w:type="dxa"/>
            </w:tcMar>
          </w:tcPr>
          <w:p w14:paraId="6F989E91" w14:textId="556D5D84"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90.5</w:t>
            </w:r>
          </w:p>
        </w:tc>
        <w:tc>
          <w:tcPr>
            <w:tcW w:w="1833" w:type="dxa"/>
            <w:tcMar>
              <w:top w:w="40" w:type="dxa"/>
              <w:bottom w:w="40" w:type="dxa"/>
            </w:tcMar>
          </w:tcPr>
          <w:p w14:paraId="4897EF4D" w14:textId="11D6344C"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07C44893" w14:textId="5E598C2B"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3F75F33F"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57BB2E46" w14:textId="4EAD60CB" w:rsidR="00484086" w:rsidRPr="00E74BB7" w:rsidRDefault="00484086" w:rsidP="00985A3D">
            <w:pPr>
              <w:spacing w:before="0" w:after="0"/>
              <w:rPr>
                <w:b w:val="0"/>
                <w:bCs w:val="0"/>
                <w:sz w:val="20"/>
                <w:szCs w:val="20"/>
                <w:lang w:val="fr-FR"/>
              </w:rPr>
            </w:pPr>
            <w:r w:rsidRPr="00E74BB7">
              <w:rPr>
                <w:b w:val="0"/>
                <w:bCs w:val="0"/>
                <w:sz w:val="20"/>
                <w:szCs w:val="20"/>
                <w:lang w:val="fr-FR"/>
              </w:rPr>
              <w:t xml:space="preserve">Tambara FM </w:t>
            </w:r>
          </w:p>
        </w:tc>
        <w:tc>
          <w:tcPr>
            <w:tcW w:w="1984" w:type="dxa"/>
            <w:tcMar>
              <w:top w:w="40" w:type="dxa"/>
              <w:bottom w:w="40" w:type="dxa"/>
            </w:tcMar>
          </w:tcPr>
          <w:p w14:paraId="42EB0DB8" w14:textId="5A55B90B"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107</w:t>
            </w:r>
          </w:p>
        </w:tc>
        <w:tc>
          <w:tcPr>
            <w:tcW w:w="1833" w:type="dxa"/>
            <w:tcMar>
              <w:top w:w="40" w:type="dxa"/>
              <w:bottom w:w="40" w:type="dxa"/>
            </w:tcMar>
          </w:tcPr>
          <w:p w14:paraId="3E4F6465" w14:textId="6678B172"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06CB472B" w14:textId="2C634954"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0BD0512D"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2B017B53" w14:textId="2156AA7B" w:rsidR="00484086" w:rsidRPr="00E74BB7" w:rsidRDefault="00484086" w:rsidP="00985A3D">
            <w:pPr>
              <w:spacing w:before="0" w:after="0"/>
              <w:rPr>
                <w:b w:val="0"/>
                <w:bCs w:val="0"/>
                <w:sz w:val="20"/>
                <w:szCs w:val="20"/>
                <w:lang w:val="fr-FR"/>
              </w:rPr>
            </w:pPr>
            <w:proofErr w:type="spellStart"/>
            <w:r w:rsidRPr="00E74BB7">
              <w:rPr>
                <w:b w:val="0"/>
                <w:bCs w:val="0"/>
                <w:sz w:val="20"/>
                <w:szCs w:val="20"/>
                <w:lang w:val="fr-FR"/>
              </w:rPr>
              <w:t>Mouryar</w:t>
            </w:r>
            <w:proofErr w:type="spellEnd"/>
            <w:r w:rsidRPr="00E74BB7">
              <w:rPr>
                <w:b w:val="0"/>
                <w:bCs w:val="0"/>
                <w:sz w:val="20"/>
                <w:szCs w:val="20"/>
                <w:lang w:val="fr-FR"/>
              </w:rPr>
              <w:t xml:space="preserve"> Ader FM</w:t>
            </w:r>
          </w:p>
        </w:tc>
        <w:tc>
          <w:tcPr>
            <w:tcW w:w="1984" w:type="dxa"/>
            <w:tcMar>
              <w:top w:w="40" w:type="dxa"/>
              <w:bottom w:w="40" w:type="dxa"/>
            </w:tcMar>
          </w:tcPr>
          <w:p w14:paraId="72E4E4E8" w14:textId="2CCB4373"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99.5</w:t>
            </w:r>
          </w:p>
        </w:tc>
        <w:tc>
          <w:tcPr>
            <w:tcW w:w="1833" w:type="dxa"/>
            <w:tcMar>
              <w:top w:w="40" w:type="dxa"/>
              <w:bottom w:w="40" w:type="dxa"/>
            </w:tcMar>
          </w:tcPr>
          <w:p w14:paraId="613AB79B" w14:textId="67FD19EB"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24A29239" w14:textId="7800F115"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33F5575F"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51C6F53A" w14:textId="25C864AD" w:rsidR="00484086" w:rsidRPr="00E74BB7" w:rsidRDefault="00484086" w:rsidP="00985A3D">
            <w:pPr>
              <w:spacing w:before="0" w:after="0"/>
              <w:rPr>
                <w:b w:val="0"/>
                <w:bCs w:val="0"/>
                <w:sz w:val="20"/>
                <w:szCs w:val="20"/>
                <w:lang w:val="fr-FR"/>
              </w:rPr>
            </w:pPr>
            <w:r w:rsidRPr="00E74BB7">
              <w:rPr>
                <w:b w:val="0"/>
                <w:bCs w:val="0"/>
                <w:sz w:val="20"/>
                <w:szCs w:val="20"/>
                <w:lang w:val="fr-FR"/>
              </w:rPr>
              <w:t>RTN Voix du Sahel Niamey</w:t>
            </w:r>
          </w:p>
        </w:tc>
        <w:tc>
          <w:tcPr>
            <w:tcW w:w="1984" w:type="dxa"/>
            <w:tcMar>
              <w:top w:w="40" w:type="dxa"/>
              <w:bottom w:w="40" w:type="dxa"/>
            </w:tcMar>
          </w:tcPr>
          <w:p w14:paraId="58BA8FA8" w14:textId="497FB2DE"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93.6</w:t>
            </w:r>
          </w:p>
        </w:tc>
        <w:tc>
          <w:tcPr>
            <w:tcW w:w="1833" w:type="dxa"/>
            <w:tcMar>
              <w:top w:w="40" w:type="dxa"/>
              <w:bottom w:w="40" w:type="dxa"/>
            </w:tcMar>
          </w:tcPr>
          <w:p w14:paraId="332F1A59" w14:textId="705D0655"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Oui</w:t>
            </w:r>
          </w:p>
        </w:tc>
        <w:tc>
          <w:tcPr>
            <w:tcW w:w="1538" w:type="dxa"/>
            <w:tcMar>
              <w:top w:w="40" w:type="dxa"/>
              <w:bottom w:w="40" w:type="dxa"/>
            </w:tcMar>
          </w:tcPr>
          <w:p w14:paraId="3112A94A" w14:textId="572D9D1A"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1D543AB6"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6625A908" w14:textId="44C894E8" w:rsidR="00484086" w:rsidRPr="00E74BB7" w:rsidRDefault="00484086" w:rsidP="00985A3D">
            <w:pPr>
              <w:spacing w:before="0" w:after="0"/>
              <w:rPr>
                <w:b w:val="0"/>
                <w:bCs w:val="0"/>
                <w:sz w:val="20"/>
                <w:szCs w:val="20"/>
                <w:lang w:val="fr-FR"/>
              </w:rPr>
            </w:pPr>
            <w:r w:rsidRPr="00E74BB7">
              <w:rPr>
                <w:b w:val="0"/>
                <w:bCs w:val="0"/>
                <w:sz w:val="20"/>
                <w:szCs w:val="20"/>
                <w:lang w:val="fr-FR"/>
              </w:rPr>
              <w:t>RTT Niamey</w:t>
            </w:r>
          </w:p>
        </w:tc>
        <w:tc>
          <w:tcPr>
            <w:tcW w:w="1984" w:type="dxa"/>
            <w:tcMar>
              <w:top w:w="40" w:type="dxa"/>
              <w:bottom w:w="40" w:type="dxa"/>
            </w:tcMar>
          </w:tcPr>
          <w:p w14:paraId="4DD289B9" w14:textId="4C93B844"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98</w:t>
            </w:r>
          </w:p>
        </w:tc>
        <w:tc>
          <w:tcPr>
            <w:tcW w:w="1833" w:type="dxa"/>
            <w:tcMar>
              <w:top w:w="40" w:type="dxa"/>
              <w:bottom w:w="40" w:type="dxa"/>
            </w:tcMar>
          </w:tcPr>
          <w:p w14:paraId="3E8F3BDA" w14:textId="1CF82782"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17F7ED38" w14:textId="0BF0CCA2"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1C866104"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435D28E4" w14:textId="15E18418" w:rsidR="00484086" w:rsidRPr="00E74BB7" w:rsidRDefault="00484086" w:rsidP="00985A3D">
            <w:pPr>
              <w:spacing w:before="0" w:after="0"/>
              <w:rPr>
                <w:b w:val="0"/>
                <w:bCs w:val="0"/>
                <w:sz w:val="20"/>
                <w:szCs w:val="20"/>
                <w:lang w:val="fr-FR"/>
              </w:rPr>
            </w:pPr>
            <w:r w:rsidRPr="00E74BB7">
              <w:rPr>
                <w:b w:val="0"/>
                <w:bCs w:val="0"/>
                <w:sz w:val="20"/>
                <w:szCs w:val="20"/>
                <w:lang w:val="fr-FR"/>
              </w:rPr>
              <w:t>Labari FM Niamey</w:t>
            </w:r>
          </w:p>
        </w:tc>
        <w:tc>
          <w:tcPr>
            <w:tcW w:w="1984" w:type="dxa"/>
            <w:tcMar>
              <w:top w:w="40" w:type="dxa"/>
              <w:bottom w:w="40" w:type="dxa"/>
            </w:tcMar>
          </w:tcPr>
          <w:p w14:paraId="67F68552" w14:textId="13559BE5"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88.3</w:t>
            </w:r>
          </w:p>
        </w:tc>
        <w:tc>
          <w:tcPr>
            <w:tcW w:w="1833" w:type="dxa"/>
            <w:tcMar>
              <w:top w:w="40" w:type="dxa"/>
              <w:bottom w:w="40" w:type="dxa"/>
            </w:tcMar>
          </w:tcPr>
          <w:p w14:paraId="0FE3B4DB" w14:textId="3266F95C"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c>
          <w:tcPr>
            <w:tcW w:w="1538" w:type="dxa"/>
            <w:tcMar>
              <w:top w:w="40" w:type="dxa"/>
              <w:bottom w:w="40" w:type="dxa"/>
            </w:tcMar>
          </w:tcPr>
          <w:p w14:paraId="2D9DDF25" w14:textId="2FE722B1"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1438E84C" w14:textId="77777777" w:rsidTr="00484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6A44905F" w14:textId="50DE4873" w:rsidR="00484086" w:rsidRPr="00E74BB7" w:rsidRDefault="00484086" w:rsidP="00985A3D">
            <w:pPr>
              <w:spacing w:before="0" w:after="0"/>
              <w:rPr>
                <w:b w:val="0"/>
                <w:bCs w:val="0"/>
                <w:sz w:val="20"/>
                <w:szCs w:val="20"/>
                <w:lang w:val="fr-FR"/>
              </w:rPr>
            </w:pPr>
            <w:r w:rsidRPr="00E74BB7">
              <w:rPr>
                <w:b w:val="0"/>
                <w:bCs w:val="0"/>
                <w:sz w:val="20"/>
                <w:szCs w:val="20"/>
                <w:lang w:val="fr-FR"/>
              </w:rPr>
              <w:t>Dounia FM Niamey</w:t>
            </w:r>
          </w:p>
        </w:tc>
        <w:tc>
          <w:tcPr>
            <w:tcW w:w="1984" w:type="dxa"/>
            <w:tcMar>
              <w:top w:w="40" w:type="dxa"/>
              <w:bottom w:w="40" w:type="dxa"/>
            </w:tcMar>
          </w:tcPr>
          <w:p w14:paraId="63637602" w14:textId="033D15FA"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89</w:t>
            </w:r>
          </w:p>
        </w:tc>
        <w:tc>
          <w:tcPr>
            <w:tcW w:w="1833" w:type="dxa"/>
            <w:tcMar>
              <w:top w:w="40" w:type="dxa"/>
              <w:bottom w:w="40" w:type="dxa"/>
            </w:tcMar>
          </w:tcPr>
          <w:p w14:paraId="6812CEAF" w14:textId="3DDD156D"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Oui</w:t>
            </w:r>
          </w:p>
        </w:tc>
        <w:tc>
          <w:tcPr>
            <w:tcW w:w="1538" w:type="dxa"/>
            <w:tcMar>
              <w:top w:w="40" w:type="dxa"/>
              <w:bottom w:w="40" w:type="dxa"/>
            </w:tcMar>
          </w:tcPr>
          <w:p w14:paraId="349005BD" w14:textId="512AB0D9" w:rsidR="00484086" w:rsidRPr="00E74BB7" w:rsidRDefault="00484086" w:rsidP="00E74BB7">
            <w:pPr>
              <w:spacing w:before="0" w:after="0"/>
              <w:jc w:val="center"/>
              <w:cnfStyle w:val="000000100000" w:firstRow="0" w:lastRow="0" w:firstColumn="0" w:lastColumn="0" w:oddVBand="0" w:evenVBand="0" w:oddHBand="1" w:evenHBand="0" w:firstRowFirstColumn="0" w:firstRowLastColumn="0" w:lastRowFirstColumn="0" w:lastRowLastColumn="0"/>
              <w:rPr>
                <w:sz w:val="20"/>
                <w:szCs w:val="20"/>
                <w:lang w:val="fr-FR"/>
              </w:rPr>
            </w:pPr>
            <w:r w:rsidRPr="00E74BB7">
              <w:rPr>
                <w:sz w:val="20"/>
                <w:szCs w:val="20"/>
                <w:lang w:val="fr-FR"/>
              </w:rPr>
              <w:t>Non</w:t>
            </w:r>
          </w:p>
        </w:tc>
      </w:tr>
      <w:tr w:rsidR="00484086" w:rsidRPr="00E74BB7" w14:paraId="16EB5E09" w14:textId="77777777" w:rsidTr="00484086">
        <w:trPr>
          <w:jc w:val="center"/>
        </w:trPr>
        <w:tc>
          <w:tcPr>
            <w:cnfStyle w:val="001000000000" w:firstRow="0" w:lastRow="0" w:firstColumn="1" w:lastColumn="0" w:oddVBand="0" w:evenVBand="0" w:oddHBand="0" w:evenHBand="0" w:firstRowFirstColumn="0" w:firstRowLastColumn="0" w:lastRowFirstColumn="0" w:lastRowLastColumn="0"/>
            <w:tcW w:w="4248" w:type="dxa"/>
            <w:tcMar>
              <w:top w:w="40" w:type="dxa"/>
              <w:bottom w:w="40" w:type="dxa"/>
            </w:tcMar>
          </w:tcPr>
          <w:p w14:paraId="66346DC5" w14:textId="01F939A2" w:rsidR="00484086" w:rsidRPr="00E74BB7" w:rsidRDefault="00484086" w:rsidP="00985A3D">
            <w:pPr>
              <w:spacing w:before="0" w:after="0"/>
              <w:rPr>
                <w:b w:val="0"/>
                <w:bCs w:val="0"/>
                <w:sz w:val="20"/>
                <w:szCs w:val="20"/>
                <w:lang w:val="fr-FR"/>
              </w:rPr>
            </w:pPr>
            <w:r w:rsidRPr="00E74BB7">
              <w:rPr>
                <w:b w:val="0"/>
                <w:bCs w:val="0"/>
                <w:sz w:val="20"/>
                <w:szCs w:val="20"/>
                <w:lang w:val="fr-FR"/>
              </w:rPr>
              <w:t>Fidélité FM Niamey</w:t>
            </w:r>
          </w:p>
        </w:tc>
        <w:tc>
          <w:tcPr>
            <w:tcW w:w="1984" w:type="dxa"/>
            <w:tcMar>
              <w:top w:w="40" w:type="dxa"/>
              <w:bottom w:w="40" w:type="dxa"/>
            </w:tcMar>
          </w:tcPr>
          <w:p w14:paraId="04640752" w14:textId="014D2137"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95.5</w:t>
            </w:r>
          </w:p>
        </w:tc>
        <w:tc>
          <w:tcPr>
            <w:tcW w:w="1833" w:type="dxa"/>
            <w:tcMar>
              <w:top w:w="40" w:type="dxa"/>
              <w:bottom w:w="40" w:type="dxa"/>
            </w:tcMar>
          </w:tcPr>
          <w:p w14:paraId="2D0BAEC6" w14:textId="36AEA1E2"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Oui</w:t>
            </w:r>
          </w:p>
        </w:tc>
        <w:tc>
          <w:tcPr>
            <w:tcW w:w="1538" w:type="dxa"/>
            <w:tcMar>
              <w:top w:w="40" w:type="dxa"/>
              <w:bottom w:w="40" w:type="dxa"/>
            </w:tcMar>
          </w:tcPr>
          <w:p w14:paraId="343CADFC" w14:textId="6DCF58C9" w:rsidR="00484086" w:rsidRPr="00E74BB7" w:rsidRDefault="00484086" w:rsidP="00E74BB7">
            <w:pPr>
              <w:spacing w:before="0" w:after="0"/>
              <w:jc w:val="center"/>
              <w:cnfStyle w:val="000000000000" w:firstRow="0" w:lastRow="0" w:firstColumn="0" w:lastColumn="0" w:oddVBand="0" w:evenVBand="0" w:oddHBand="0" w:evenHBand="0" w:firstRowFirstColumn="0" w:firstRowLastColumn="0" w:lastRowFirstColumn="0" w:lastRowLastColumn="0"/>
              <w:rPr>
                <w:sz w:val="20"/>
                <w:szCs w:val="20"/>
                <w:lang w:val="fr-FR"/>
              </w:rPr>
            </w:pPr>
            <w:r w:rsidRPr="00E74BB7">
              <w:rPr>
                <w:sz w:val="20"/>
                <w:szCs w:val="20"/>
                <w:lang w:val="fr-FR"/>
              </w:rPr>
              <w:t>Non</w:t>
            </w:r>
          </w:p>
        </w:tc>
      </w:tr>
    </w:tbl>
    <w:p w14:paraId="22300E34" w14:textId="77777777" w:rsidR="00E32006" w:rsidRPr="00614EF9" w:rsidRDefault="00E32006" w:rsidP="00E32006">
      <w:pPr>
        <w:pStyle w:val="Lgende"/>
        <w:spacing w:before="120" w:after="120"/>
        <w:rPr>
          <w:color w:val="000000" w:themeColor="text1"/>
          <w:lang w:val="fr-FR"/>
        </w:rPr>
      </w:pPr>
      <w:bookmarkStart w:id="80" w:name="_Ref240360881"/>
      <w:bookmarkStart w:id="81" w:name="_Toc240614520"/>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6</w:t>
      </w:r>
      <w:r w:rsidRPr="00614EF9">
        <w:rPr>
          <w:color w:val="000000" w:themeColor="text1"/>
          <w:lang w:val="fr-FR"/>
        </w:rPr>
        <w:fldChar w:fldCharType="end"/>
      </w:r>
      <w:r w:rsidRPr="00614EF9">
        <w:rPr>
          <w:color w:val="000000" w:themeColor="text1"/>
          <w:lang w:val="fr-FR"/>
        </w:rPr>
        <w:t>: Inventaire sites d’émission générant des produits d’intermodulation observés dans la bande 700 MHz</w:t>
      </w:r>
      <w:bookmarkEnd w:id="80"/>
      <w:bookmarkEnd w:id="81"/>
    </w:p>
    <w:p w14:paraId="289D9CE9" w14:textId="7A054085" w:rsidR="000614D8" w:rsidRPr="00614EF9" w:rsidRDefault="000614D8" w:rsidP="0066730D">
      <w:pPr>
        <w:pStyle w:val="Titre3"/>
        <w:rPr>
          <w:lang w:val="fr-FR"/>
        </w:rPr>
      </w:pPr>
      <w:bookmarkStart w:id="82" w:name="_Toc240614369"/>
      <w:r w:rsidRPr="00614EF9">
        <w:rPr>
          <w:lang w:val="fr-FR"/>
        </w:rPr>
        <w:t xml:space="preserve">Volet 2,4 GHz &amp; 5 </w:t>
      </w:r>
      <w:r w:rsidR="00327EF1" w:rsidRPr="00614EF9">
        <w:rPr>
          <w:lang w:val="fr-FR"/>
        </w:rPr>
        <w:t>GHz :</w:t>
      </w:r>
      <w:r w:rsidRPr="00614EF9">
        <w:rPr>
          <w:lang w:val="fr-FR"/>
        </w:rPr>
        <w:t xml:space="preserve"> Réseaux d'accès hertzien fixe des FAI</w:t>
      </w:r>
      <w:bookmarkEnd w:id="82"/>
    </w:p>
    <w:p w14:paraId="41995D14" w14:textId="77777777" w:rsidR="000614D8" w:rsidRPr="00614EF9" w:rsidRDefault="000614D8" w:rsidP="000614D8">
      <w:pPr>
        <w:spacing w:before="60"/>
        <w:rPr>
          <w:lang w:val="fr-FR"/>
        </w:rPr>
      </w:pPr>
      <w:r w:rsidRPr="00614EF9">
        <w:rPr>
          <w:lang w:val="fr-FR"/>
        </w:rPr>
        <w:t>Trois exploitants ont déclaré un réseau d'accès hertzien fixe, dont un opérateur mobile exerçant également cette activité. La totalité des déploiements recensés opère dans la bande 5 GHz : aucun réseau d'accès n'est exploité en 2,4 GHz.</w:t>
      </w:r>
    </w:p>
    <w:p w14:paraId="33949837" w14:textId="321802AC" w:rsidR="00E46E66" w:rsidRPr="00614EF9" w:rsidRDefault="00E46E66" w:rsidP="000614D8">
      <w:pPr>
        <w:spacing w:before="60"/>
        <w:rPr>
          <w:lang w:val="fr-FR"/>
        </w:rPr>
      </w:pPr>
      <w:r w:rsidRPr="00614EF9">
        <w:rPr>
          <w:lang w:val="fr-FR"/>
        </w:rPr>
        <w:t xml:space="preserve">Le </w:t>
      </w:r>
      <w:r w:rsidRPr="00614EF9">
        <w:rPr>
          <w:lang w:val="fr-FR"/>
        </w:rPr>
        <w:fldChar w:fldCharType="begin"/>
      </w:r>
      <w:r w:rsidRPr="00614EF9">
        <w:rPr>
          <w:lang w:val="fr-FR"/>
        </w:rPr>
        <w:instrText xml:space="preserve"> REF _Ref240362081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7</w:t>
      </w:r>
      <w:r w:rsidR="007A7843" w:rsidRPr="00614EF9">
        <w:rPr>
          <w:color w:val="000000" w:themeColor="text1"/>
          <w:lang w:val="fr-FR"/>
        </w:rPr>
        <w:t xml:space="preserve"> </w:t>
      </w:r>
      <w:r w:rsidRPr="00614EF9">
        <w:rPr>
          <w:lang w:val="fr-FR"/>
        </w:rPr>
        <w:fldChar w:fldCharType="end"/>
      </w:r>
      <w:r w:rsidR="00157B1D" w:rsidRPr="00614EF9">
        <w:rPr>
          <w:lang w:val="fr-FR"/>
        </w:rPr>
        <w:t>ci-dessous en donne les caractéristiques.</w:t>
      </w:r>
    </w:p>
    <w:tbl>
      <w:tblPr>
        <w:tblStyle w:val="TableauGrille4-Accentuation3"/>
        <w:tblW w:w="9638" w:type="dxa"/>
        <w:jc w:val="center"/>
        <w:tblLayout w:type="fixed"/>
        <w:tblLook w:val="04A0" w:firstRow="1" w:lastRow="0" w:firstColumn="1" w:lastColumn="0" w:noHBand="0" w:noVBand="1"/>
      </w:tblPr>
      <w:tblGrid>
        <w:gridCol w:w="2263"/>
        <w:gridCol w:w="993"/>
        <w:gridCol w:w="1275"/>
        <w:gridCol w:w="2835"/>
        <w:gridCol w:w="2272"/>
      </w:tblGrid>
      <w:tr w:rsidR="000614D8" w:rsidRPr="00614EF9" w14:paraId="3E60B87F" w14:textId="77777777" w:rsidTr="00E46E6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263" w:type="dxa"/>
            <w:tcMar>
              <w:top w:w="40" w:type="dxa"/>
              <w:bottom w:w="40" w:type="dxa"/>
            </w:tcMar>
          </w:tcPr>
          <w:p w14:paraId="66A0488D" w14:textId="77777777" w:rsidR="000614D8" w:rsidRPr="00614EF9" w:rsidRDefault="000614D8" w:rsidP="009514E2">
            <w:pPr>
              <w:spacing w:before="20" w:after="20"/>
              <w:rPr>
                <w:lang w:val="fr-FR"/>
              </w:rPr>
            </w:pPr>
            <w:r w:rsidRPr="00614EF9">
              <w:rPr>
                <w:color w:val="FFFFFF"/>
                <w:sz w:val="18"/>
                <w:szCs w:val="18"/>
                <w:lang w:val="fr-FR"/>
              </w:rPr>
              <w:t>Exploitant</w:t>
            </w:r>
          </w:p>
        </w:tc>
        <w:tc>
          <w:tcPr>
            <w:tcW w:w="993" w:type="dxa"/>
            <w:tcMar>
              <w:top w:w="40" w:type="dxa"/>
              <w:bottom w:w="40" w:type="dxa"/>
            </w:tcMar>
          </w:tcPr>
          <w:p w14:paraId="2E0C2982" w14:textId="77777777" w:rsidR="000614D8" w:rsidRPr="00614EF9" w:rsidRDefault="000614D8"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Sites</w:t>
            </w:r>
          </w:p>
        </w:tc>
        <w:tc>
          <w:tcPr>
            <w:tcW w:w="1275" w:type="dxa"/>
            <w:tcMar>
              <w:top w:w="40" w:type="dxa"/>
              <w:bottom w:w="40" w:type="dxa"/>
            </w:tcMar>
          </w:tcPr>
          <w:p w14:paraId="23A1235D" w14:textId="77777777" w:rsidR="000614D8" w:rsidRPr="00614EF9" w:rsidRDefault="000614D8"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Secteurs</w:t>
            </w:r>
          </w:p>
        </w:tc>
        <w:tc>
          <w:tcPr>
            <w:tcW w:w="2835" w:type="dxa"/>
            <w:tcMar>
              <w:top w:w="40" w:type="dxa"/>
              <w:bottom w:w="40" w:type="dxa"/>
            </w:tcMar>
          </w:tcPr>
          <w:p w14:paraId="77D67708" w14:textId="77777777" w:rsidR="000614D8" w:rsidRPr="00614EF9" w:rsidRDefault="000614D8"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Liaisons point à point</w:t>
            </w:r>
          </w:p>
        </w:tc>
        <w:tc>
          <w:tcPr>
            <w:tcW w:w="2272" w:type="dxa"/>
            <w:tcMar>
              <w:top w:w="40" w:type="dxa"/>
              <w:bottom w:w="40" w:type="dxa"/>
            </w:tcMar>
          </w:tcPr>
          <w:p w14:paraId="79A15C59" w14:textId="77777777" w:rsidR="000614D8" w:rsidRPr="00614EF9" w:rsidRDefault="000614D8"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Terminaux d'abonnés</w:t>
            </w:r>
          </w:p>
        </w:tc>
      </w:tr>
      <w:tr w:rsidR="000614D8" w:rsidRPr="00614EF9" w14:paraId="7A0C05E8" w14:textId="77777777" w:rsidTr="00E46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Mar>
              <w:top w:w="40" w:type="dxa"/>
              <w:bottom w:w="40" w:type="dxa"/>
            </w:tcMar>
          </w:tcPr>
          <w:p w14:paraId="1F92A4D9" w14:textId="6D539973" w:rsidR="000614D8" w:rsidRPr="00614EF9" w:rsidRDefault="00961FE4" w:rsidP="009514E2">
            <w:pPr>
              <w:spacing w:before="20" w:after="20"/>
              <w:rPr>
                <w:b w:val="0"/>
                <w:bCs w:val="0"/>
                <w:lang w:val="fr-FR"/>
              </w:rPr>
            </w:pPr>
            <w:r w:rsidRPr="00614EF9">
              <w:rPr>
                <w:b w:val="0"/>
                <w:bCs w:val="0"/>
                <w:sz w:val="18"/>
                <w:szCs w:val="18"/>
                <w:lang w:val="fr-FR"/>
              </w:rPr>
              <w:t>CELTEL NIGER</w:t>
            </w:r>
          </w:p>
        </w:tc>
        <w:tc>
          <w:tcPr>
            <w:tcW w:w="993" w:type="dxa"/>
            <w:tcMar>
              <w:top w:w="40" w:type="dxa"/>
              <w:bottom w:w="40" w:type="dxa"/>
            </w:tcMar>
          </w:tcPr>
          <w:p w14:paraId="57CAE1F6"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62</w:t>
            </w:r>
          </w:p>
        </w:tc>
        <w:tc>
          <w:tcPr>
            <w:tcW w:w="1275" w:type="dxa"/>
            <w:tcMar>
              <w:top w:w="40" w:type="dxa"/>
              <w:bottom w:w="40" w:type="dxa"/>
            </w:tcMar>
          </w:tcPr>
          <w:p w14:paraId="1D4B7F00"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65</w:t>
            </w:r>
          </w:p>
        </w:tc>
        <w:tc>
          <w:tcPr>
            <w:tcW w:w="2835" w:type="dxa"/>
            <w:tcMar>
              <w:top w:w="40" w:type="dxa"/>
              <w:bottom w:w="40" w:type="dxa"/>
            </w:tcMar>
          </w:tcPr>
          <w:p w14:paraId="7453D44D"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76</w:t>
            </w:r>
          </w:p>
        </w:tc>
        <w:tc>
          <w:tcPr>
            <w:tcW w:w="2272" w:type="dxa"/>
            <w:tcMar>
              <w:top w:w="40" w:type="dxa"/>
              <w:bottom w:w="40" w:type="dxa"/>
            </w:tcMar>
          </w:tcPr>
          <w:p w14:paraId="4F047BBE"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254</w:t>
            </w:r>
          </w:p>
        </w:tc>
      </w:tr>
      <w:tr w:rsidR="000614D8" w:rsidRPr="00614EF9" w14:paraId="62B44F2B" w14:textId="77777777" w:rsidTr="00E46E66">
        <w:trPr>
          <w:jc w:val="center"/>
        </w:trPr>
        <w:tc>
          <w:tcPr>
            <w:cnfStyle w:val="001000000000" w:firstRow="0" w:lastRow="0" w:firstColumn="1" w:lastColumn="0" w:oddVBand="0" w:evenVBand="0" w:oddHBand="0" w:evenHBand="0" w:firstRowFirstColumn="0" w:firstRowLastColumn="0" w:lastRowFirstColumn="0" w:lastRowLastColumn="0"/>
            <w:tcW w:w="2263" w:type="dxa"/>
            <w:tcMar>
              <w:top w:w="40" w:type="dxa"/>
              <w:bottom w:w="40" w:type="dxa"/>
            </w:tcMar>
          </w:tcPr>
          <w:p w14:paraId="3A4B85F9" w14:textId="2568B74D" w:rsidR="000614D8" w:rsidRPr="00614EF9" w:rsidRDefault="00961FE4" w:rsidP="009514E2">
            <w:pPr>
              <w:spacing w:before="20" w:after="20"/>
              <w:rPr>
                <w:b w:val="0"/>
                <w:bCs w:val="0"/>
                <w:lang w:val="fr-FR"/>
              </w:rPr>
            </w:pPr>
            <w:r w:rsidRPr="00614EF9">
              <w:rPr>
                <w:b w:val="0"/>
                <w:bCs w:val="0"/>
                <w:sz w:val="18"/>
                <w:szCs w:val="18"/>
                <w:lang w:val="fr-FR"/>
              </w:rPr>
              <w:t>LIPTINFOR NIGER</w:t>
            </w:r>
          </w:p>
        </w:tc>
        <w:tc>
          <w:tcPr>
            <w:tcW w:w="993" w:type="dxa"/>
            <w:tcMar>
              <w:top w:w="40" w:type="dxa"/>
              <w:bottom w:w="40" w:type="dxa"/>
            </w:tcMar>
          </w:tcPr>
          <w:p w14:paraId="7E5F827C"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21</w:t>
            </w:r>
          </w:p>
        </w:tc>
        <w:tc>
          <w:tcPr>
            <w:tcW w:w="1275" w:type="dxa"/>
            <w:tcMar>
              <w:top w:w="40" w:type="dxa"/>
              <w:bottom w:w="40" w:type="dxa"/>
            </w:tcMar>
          </w:tcPr>
          <w:p w14:paraId="311DD7DE"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153</w:t>
            </w:r>
          </w:p>
        </w:tc>
        <w:tc>
          <w:tcPr>
            <w:tcW w:w="2835" w:type="dxa"/>
            <w:tcMar>
              <w:top w:w="40" w:type="dxa"/>
              <w:bottom w:w="40" w:type="dxa"/>
            </w:tcMar>
          </w:tcPr>
          <w:p w14:paraId="60EF2D0C"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15</w:t>
            </w:r>
          </w:p>
        </w:tc>
        <w:tc>
          <w:tcPr>
            <w:tcW w:w="2272" w:type="dxa"/>
            <w:tcMar>
              <w:top w:w="40" w:type="dxa"/>
              <w:bottom w:w="40" w:type="dxa"/>
            </w:tcMar>
          </w:tcPr>
          <w:p w14:paraId="52A0178D"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361</w:t>
            </w:r>
          </w:p>
        </w:tc>
      </w:tr>
      <w:tr w:rsidR="000614D8" w:rsidRPr="00614EF9" w14:paraId="1037619A" w14:textId="77777777" w:rsidTr="00E46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Mar>
              <w:top w:w="40" w:type="dxa"/>
              <w:bottom w:w="40" w:type="dxa"/>
            </w:tcMar>
          </w:tcPr>
          <w:p w14:paraId="3A4E0162" w14:textId="44F9322E" w:rsidR="000614D8" w:rsidRPr="00614EF9" w:rsidRDefault="00961FE4" w:rsidP="009514E2">
            <w:pPr>
              <w:spacing w:before="20" w:after="20"/>
              <w:rPr>
                <w:b w:val="0"/>
                <w:bCs w:val="0"/>
                <w:lang w:val="fr-FR"/>
              </w:rPr>
            </w:pPr>
            <w:r w:rsidRPr="00614EF9">
              <w:rPr>
                <w:b w:val="0"/>
                <w:bCs w:val="0"/>
                <w:sz w:val="18"/>
                <w:szCs w:val="18"/>
                <w:lang w:val="fr-FR"/>
              </w:rPr>
              <w:t>AFR-IX TELECOM NIGER</w:t>
            </w:r>
          </w:p>
        </w:tc>
        <w:tc>
          <w:tcPr>
            <w:tcW w:w="993" w:type="dxa"/>
            <w:tcMar>
              <w:top w:w="40" w:type="dxa"/>
              <w:bottom w:w="40" w:type="dxa"/>
            </w:tcMar>
          </w:tcPr>
          <w:p w14:paraId="5D97E17E"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w:t>
            </w:r>
          </w:p>
        </w:tc>
        <w:tc>
          <w:tcPr>
            <w:tcW w:w="1275" w:type="dxa"/>
            <w:tcMar>
              <w:top w:w="40" w:type="dxa"/>
              <w:bottom w:w="40" w:type="dxa"/>
            </w:tcMar>
          </w:tcPr>
          <w:p w14:paraId="26B29743"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w:t>
            </w:r>
          </w:p>
        </w:tc>
        <w:tc>
          <w:tcPr>
            <w:tcW w:w="2835" w:type="dxa"/>
            <w:tcMar>
              <w:top w:w="40" w:type="dxa"/>
              <w:bottom w:w="40" w:type="dxa"/>
            </w:tcMar>
          </w:tcPr>
          <w:p w14:paraId="2C619BD0"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w:t>
            </w:r>
          </w:p>
        </w:tc>
        <w:tc>
          <w:tcPr>
            <w:tcW w:w="2272" w:type="dxa"/>
            <w:tcMar>
              <w:top w:w="40" w:type="dxa"/>
              <w:bottom w:w="40" w:type="dxa"/>
            </w:tcMar>
          </w:tcPr>
          <w:p w14:paraId="37A3566D" w14:textId="77777777" w:rsidR="000614D8" w:rsidRPr="00614EF9" w:rsidRDefault="000614D8" w:rsidP="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25</w:t>
            </w:r>
          </w:p>
        </w:tc>
      </w:tr>
      <w:tr w:rsidR="000614D8" w:rsidRPr="00614EF9" w14:paraId="6E891FC7" w14:textId="77777777" w:rsidTr="00E46E66">
        <w:trPr>
          <w:jc w:val="center"/>
        </w:trPr>
        <w:tc>
          <w:tcPr>
            <w:cnfStyle w:val="001000000000" w:firstRow="0" w:lastRow="0" w:firstColumn="1" w:lastColumn="0" w:oddVBand="0" w:evenVBand="0" w:oddHBand="0" w:evenHBand="0" w:firstRowFirstColumn="0" w:firstRowLastColumn="0" w:lastRowFirstColumn="0" w:lastRowLastColumn="0"/>
            <w:tcW w:w="2263" w:type="dxa"/>
            <w:tcMar>
              <w:top w:w="40" w:type="dxa"/>
              <w:bottom w:w="40" w:type="dxa"/>
            </w:tcMar>
          </w:tcPr>
          <w:p w14:paraId="37A807CB" w14:textId="77777777" w:rsidR="000614D8" w:rsidRPr="00614EF9" w:rsidRDefault="000614D8" w:rsidP="009514E2">
            <w:pPr>
              <w:spacing w:before="20" w:after="20"/>
              <w:rPr>
                <w:lang w:val="fr-FR"/>
              </w:rPr>
            </w:pPr>
            <w:r w:rsidRPr="00614EF9">
              <w:rPr>
                <w:sz w:val="18"/>
                <w:szCs w:val="18"/>
                <w:lang w:val="fr-FR"/>
              </w:rPr>
              <w:t>Total recensé</w:t>
            </w:r>
          </w:p>
        </w:tc>
        <w:tc>
          <w:tcPr>
            <w:tcW w:w="993" w:type="dxa"/>
            <w:tcMar>
              <w:top w:w="40" w:type="dxa"/>
              <w:bottom w:w="40" w:type="dxa"/>
            </w:tcMar>
          </w:tcPr>
          <w:p w14:paraId="443FCF16"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b/>
                <w:bCs/>
                <w:lang w:val="fr-FR"/>
              </w:rPr>
            </w:pPr>
            <w:r w:rsidRPr="00614EF9">
              <w:rPr>
                <w:b/>
                <w:bCs/>
                <w:sz w:val="18"/>
                <w:szCs w:val="18"/>
                <w:lang w:val="fr-FR"/>
              </w:rPr>
              <w:t>85</w:t>
            </w:r>
          </w:p>
        </w:tc>
        <w:tc>
          <w:tcPr>
            <w:tcW w:w="1275" w:type="dxa"/>
            <w:tcMar>
              <w:top w:w="40" w:type="dxa"/>
              <w:bottom w:w="40" w:type="dxa"/>
            </w:tcMar>
          </w:tcPr>
          <w:p w14:paraId="5EF85EC0"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b/>
                <w:bCs/>
                <w:lang w:val="fr-FR"/>
              </w:rPr>
            </w:pPr>
            <w:r w:rsidRPr="00614EF9">
              <w:rPr>
                <w:b/>
                <w:bCs/>
                <w:sz w:val="18"/>
                <w:szCs w:val="18"/>
                <w:lang w:val="fr-FR"/>
              </w:rPr>
              <w:t>224</w:t>
            </w:r>
          </w:p>
        </w:tc>
        <w:tc>
          <w:tcPr>
            <w:tcW w:w="2835" w:type="dxa"/>
            <w:tcMar>
              <w:top w:w="40" w:type="dxa"/>
              <w:bottom w:w="40" w:type="dxa"/>
            </w:tcMar>
          </w:tcPr>
          <w:p w14:paraId="7957CAD5"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b/>
                <w:bCs/>
                <w:lang w:val="fr-FR"/>
              </w:rPr>
            </w:pPr>
            <w:r w:rsidRPr="00614EF9">
              <w:rPr>
                <w:b/>
                <w:bCs/>
                <w:sz w:val="18"/>
                <w:szCs w:val="18"/>
                <w:lang w:val="fr-FR"/>
              </w:rPr>
              <w:t>93</w:t>
            </w:r>
          </w:p>
        </w:tc>
        <w:tc>
          <w:tcPr>
            <w:tcW w:w="2272" w:type="dxa"/>
            <w:tcMar>
              <w:top w:w="40" w:type="dxa"/>
              <w:bottom w:w="40" w:type="dxa"/>
            </w:tcMar>
          </w:tcPr>
          <w:p w14:paraId="380D3A7A" w14:textId="77777777" w:rsidR="000614D8" w:rsidRPr="00614EF9" w:rsidRDefault="000614D8" w:rsidP="009514E2">
            <w:pPr>
              <w:spacing w:before="20" w:after="20"/>
              <w:jc w:val="center"/>
              <w:cnfStyle w:val="000000000000" w:firstRow="0" w:lastRow="0" w:firstColumn="0" w:lastColumn="0" w:oddVBand="0" w:evenVBand="0" w:oddHBand="0" w:evenHBand="0" w:firstRowFirstColumn="0" w:firstRowLastColumn="0" w:lastRowFirstColumn="0" w:lastRowLastColumn="0"/>
              <w:rPr>
                <w:b/>
                <w:bCs/>
                <w:lang w:val="fr-FR"/>
              </w:rPr>
            </w:pPr>
            <w:r w:rsidRPr="00614EF9">
              <w:rPr>
                <w:b/>
                <w:bCs/>
                <w:sz w:val="18"/>
                <w:szCs w:val="18"/>
                <w:lang w:val="fr-FR"/>
              </w:rPr>
              <w:t>640</w:t>
            </w:r>
          </w:p>
        </w:tc>
      </w:tr>
    </w:tbl>
    <w:p w14:paraId="1D94FDBF" w14:textId="77777777" w:rsidR="00AC550E" w:rsidRPr="00614EF9" w:rsidRDefault="0052104D" w:rsidP="005F51E2">
      <w:pPr>
        <w:pStyle w:val="Lgende"/>
        <w:spacing w:before="120" w:after="120"/>
        <w:rPr>
          <w:color w:val="000000" w:themeColor="text1"/>
          <w:lang w:val="fr-FR"/>
        </w:rPr>
      </w:pPr>
      <w:bookmarkStart w:id="83" w:name="_Ref240362081"/>
      <w:bookmarkStart w:id="84" w:name="_Toc240614521"/>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7</w:t>
      </w:r>
      <w:r w:rsidRPr="00614EF9">
        <w:rPr>
          <w:color w:val="000000" w:themeColor="text1"/>
          <w:lang w:val="fr-FR"/>
        </w:rPr>
        <w:fldChar w:fldCharType="end"/>
      </w:r>
      <w:r w:rsidRPr="00614EF9">
        <w:rPr>
          <w:color w:val="000000" w:themeColor="text1"/>
          <w:lang w:val="fr-FR"/>
        </w:rPr>
        <w:t>: Inventaire des réseaux d’accès hertzien fixe des FAI fonctionnant dans la bande 5 GHz</w:t>
      </w:r>
      <w:bookmarkEnd w:id="83"/>
      <w:bookmarkEnd w:id="84"/>
    </w:p>
    <w:p w14:paraId="18511140" w14:textId="77777777" w:rsidR="000614D8" w:rsidRPr="00614EF9" w:rsidRDefault="009514E2" w:rsidP="0066730D">
      <w:pPr>
        <w:pStyle w:val="Titre3"/>
        <w:rPr>
          <w:lang w:val="fr-FR"/>
        </w:rPr>
      </w:pPr>
      <w:bookmarkStart w:id="85" w:name="_Toc240614370"/>
      <w:r w:rsidRPr="00614EF9">
        <w:rPr>
          <w:lang w:val="fr-FR"/>
        </w:rPr>
        <w:t>Volet Bande C</w:t>
      </w:r>
      <w:bookmarkEnd w:id="85"/>
    </w:p>
    <w:p w14:paraId="3416D9AC" w14:textId="1A109526" w:rsidR="00B62BA1" w:rsidRPr="00614EF9" w:rsidRDefault="00990354" w:rsidP="00990354">
      <w:pPr>
        <w:spacing w:before="60"/>
        <w:rPr>
          <w:lang w:val="fr-FR"/>
        </w:rPr>
      </w:pPr>
      <w:r w:rsidRPr="00614EF9">
        <w:rPr>
          <w:lang w:val="fr-FR"/>
        </w:rPr>
        <w:t>La bande C accueille deux types d’usage : les stations terriennes du service fixe par satellite et les réseaux d’accès hertzien fixe.</w:t>
      </w:r>
    </w:p>
    <w:p w14:paraId="64E64468" w14:textId="77777777" w:rsidR="000614D8" w:rsidRPr="00614EF9" w:rsidRDefault="000614D8" w:rsidP="007E0FED">
      <w:pPr>
        <w:pStyle w:val="Titre4"/>
        <w:rPr>
          <w:lang w:val="fr-FR"/>
        </w:rPr>
      </w:pPr>
      <w:bookmarkStart w:id="86" w:name="_Toc240614371"/>
      <w:r w:rsidRPr="00614EF9">
        <w:rPr>
          <w:lang w:val="fr-FR"/>
        </w:rPr>
        <w:t>Stations terriennes du service fixe par satellite (SFS)</w:t>
      </w:r>
      <w:bookmarkEnd w:id="86"/>
      <w:r w:rsidRPr="00614EF9">
        <w:rPr>
          <w:lang w:val="fr-FR"/>
        </w:rPr>
        <w:t xml:space="preserve"> </w:t>
      </w:r>
    </w:p>
    <w:p w14:paraId="70DB463C" w14:textId="77777777" w:rsidR="00BF4D09" w:rsidRPr="00614EF9" w:rsidRDefault="00990354" w:rsidP="00990354">
      <w:pPr>
        <w:spacing w:before="60"/>
        <w:rPr>
          <w:lang w:val="fr-FR"/>
        </w:rPr>
      </w:pPr>
      <w:r w:rsidRPr="00614EF9">
        <w:rPr>
          <w:lang w:val="fr-FR"/>
        </w:rPr>
        <w:t>Le recensement issu des contributions donne un total de 46 stations terriennes du SFS fonctionnant dans la bande C.</w:t>
      </w:r>
    </w:p>
    <w:p w14:paraId="272260B0" w14:textId="3EE5580A" w:rsidR="00990354" w:rsidRPr="00614EF9" w:rsidRDefault="00BF4D09" w:rsidP="00990354">
      <w:pPr>
        <w:spacing w:before="60"/>
        <w:rPr>
          <w:lang w:val="fr-FR"/>
        </w:rPr>
      </w:pPr>
      <w:r w:rsidRPr="00614EF9">
        <w:rPr>
          <w:lang w:val="fr-FR"/>
        </w:rPr>
        <w:t xml:space="preserve">Le </w:t>
      </w:r>
      <w:r w:rsidRPr="00614EF9">
        <w:rPr>
          <w:lang w:val="fr-FR"/>
        </w:rPr>
        <w:fldChar w:fldCharType="begin"/>
      </w:r>
      <w:r w:rsidRPr="00614EF9">
        <w:rPr>
          <w:lang w:val="fr-FR"/>
        </w:rPr>
        <w:instrText xml:space="preserve"> REF _Ref240362823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8</w:t>
      </w:r>
      <w:r w:rsidR="00B62BA1" w:rsidRPr="00614EF9">
        <w:rPr>
          <w:color w:val="000000" w:themeColor="text1"/>
          <w:lang w:val="fr-FR"/>
        </w:rPr>
        <w:t xml:space="preserve"> </w:t>
      </w:r>
      <w:r w:rsidRPr="00614EF9">
        <w:rPr>
          <w:lang w:val="fr-FR"/>
        </w:rPr>
        <w:fldChar w:fldCharType="end"/>
      </w:r>
      <w:r w:rsidR="00B62BA1" w:rsidRPr="00614EF9">
        <w:rPr>
          <w:lang w:val="fr-FR"/>
        </w:rPr>
        <w:t>ci-dessous donne la liste des exploitants de stations terriennes du SFS en bande C.</w:t>
      </w:r>
    </w:p>
    <w:tbl>
      <w:tblPr>
        <w:tblStyle w:val="TableauGrille4-Accentuation3"/>
        <w:tblW w:w="9638" w:type="dxa"/>
        <w:jc w:val="center"/>
        <w:tblLayout w:type="fixed"/>
        <w:tblLook w:val="04A0" w:firstRow="1" w:lastRow="0" w:firstColumn="1" w:lastColumn="0" w:noHBand="0" w:noVBand="1"/>
      </w:tblPr>
      <w:tblGrid>
        <w:gridCol w:w="2200"/>
        <w:gridCol w:w="2600"/>
        <w:gridCol w:w="2000"/>
        <w:gridCol w:w="2838"/>
      </w:tblGrid>
      <w:tr w:rsidR="00990354" w:rsidRPr="00614EF9" w14:paraId="13389123" w14:textId="77777777" w:rsidTr="009514E2">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6CE40133" w14:textId="77777777" w:rsidR="00990354" w:rsidRPr="00614EF9" w:rsidRDefault="00990354" w:rsidP="009514E2">
            <w:pPr>
              <w:spacing w:before="20" w:after="20"/>
              <w:rPr>
                <w:lang w:val="fr-FR"/>
              </w:rPr>
            </w:pPr>
            <w:r w:rsidRPr="00614EF9">
              <w:rPr>
                <w:color w:val="FFFFFF"/>
                <w:sz w:val="18"/>
                <w:szCs w:val="18"/>
                <w:lang w:val="fr-FR"/>
              </w:rPr>
              <w:lastRenderedPageBreak/>
              <w:t>Exploitant</w:t>
            </w:r>
          </w:p>
        </w:tc>
        <w:tc>
          <w:tcPr>
            <w:tcW w:w="2600" w:type="dxa"/>
            <w:tcMar>
              <w:top w:w="40" w:type="dxa"/>
              <w:bottom w:w="40" w:type="dxa"/>
            </w:tcMar>
          </w:tcPr>
          <w:p w14:paraId="020EE363" w14:textId="77777777" w:rsidR="00990354" w:rsidRPr="00614EF9" w:rsidRDefault="00990354"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Nombre de stations</w:t>
            </w:r>
          </w:p>
        </w:tc>
        <w:tc>
          <w:tcPr>
            <w:tcW w:w="2000" w:type="dxa"/>
            <w:tcMar>
              <w:top w:w="40" w:type="dxa"/>
              <w:bottom w:w="40" w:type="dxa"/>
            </w:tcMar>
          </w:tcPr>
          <w:p w14:paraId="103608FC" w14:textId="77777777" w:rsidR="00990354" w:rsidRPr="00614EF9" w:rsidRDefault="00990354"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Plage reçue déclarée</w:t>
            </w:r>
          </w:p>
        </w:tc>
        <w:tc>
          <w:tcPr>
            <w:tcW w:w="2838" w:type="dxa"/>
            <w:tcMar>
              <w:top w:w="40" w:type="dxa"/>
              <w:bottom w:w="40" w:type="dxa"/>
            </w:tcMar>
          </w:tcPr>
          <w:p w14:paraId="040371FC" w14:textId="77777777" w:rsidR="00990354" w:rsidRPr="00614EF9" w:rsidRDefault="00990354" w:rsidP="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Recouvrement avec 3 400–3 800 MHz</w:t>
            </w:r>
          </w:p>
        </w:tc>
      </w:tr>
      <w:tr w:rsidR="00990354" w:rsidRPr="004E0820" w14:paraId="699E532F" w14:textId="77777777" w:rsidTr="009514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7C24B537" w14:textId="6C38112F" w:rsidR="00990354" w:rsidRPr="004E0820" w:rsidRDefault="00961FE4" w:rsidP="009514E2">
            <w:pPr>
              <w:spacing w:before="20" w:after="20"/>
              <w:rPr>
                <w:b w:val="0"/>
                <w:bCs w:val="0"/>
                <w:lang w:val="fr-FR"/>
              </w:rPr>
            </w:pPr>
            <w:r w:rsidRPr="004E0820">
              <w:rPr>
                <w:b w:val="0"/>
                <w:bCs w:val="0"/>
                <w:sz w:val="18"/>
                <w:szCs w:val="18"/>
                <w:lang w:val="fr-FR"/>
              </w:rPr>
              <w:t>CELTEL NIGER</w:t>
            </w:r>
          </w:p>
        </w:tc>
        <w:tc>
          <w:tcPr>
            <w:tcW w:w="2600" w:type="dxa"/>
            <w:tcMar>
              <w:top w:w="40" w:type="dxa"/>
              <w:bottom w:w="40" w:type="dxa"/>
            </w:tcMar>
          </w:tcPr>
          <w:p w14:paraId="27490674" w14:textId="7AC24280"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1</w:t>
            </w:r>
            <w:r w:rsidR="00327EF1">
              <w:rPr>
                <w:sz w:val="18"/>
                <w:szCs w:val="18"/>
                <w:lang w:val="fr-FR"/>
              </w:rPr>
              <w:t>7</w:t>
            </w:r>
            <w:r w:rsidRPr="004E0820">
              <w:rPr>
                <w:sz w:val="18"/>
                <w:szCs w:val="18"/>
                <w:lang w:val="fr-FR"/>
              </w:rPr>
              <w:t xml:space="preserve"> (antennes 2,4 à 4,5 m)</w:t>
            </w:r>
          </w:p>
        </w:tc>
        <w:tc>
          <w:tcPr>
            <w:tcW w:w="2000" w:type="dxa"/>
            <w:tcMar>
              <w:top w:w="40" w:type="dxa"/>
              <w:bottom w:w="40" w:type="dxa"/>
            </w:tcMar>
          </w:tcPr>
          <w:p w14:paraId="37895334" w14:textId="77777777"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3 758,5 – 3 784,7 MHz</w:t>
            </w:r>
          </w:p>
        </w:tc>
        <w:tc>
          <w:tcPr>
            <w:tcW w:w="2838" w:type="dxa"/>
            <w:tcMar>
              <w:top w:w="40" w:type="dxa"/>
              <w:bottom w:w="40" w:type="dxa"/>
            </w:tcMar>
          </w:tcPr>
          <w:p w14:paraId="2A49BB2C" w14:textId="77777777"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Co-canal intégral – la réception est entièrement située dans la bande visée</w:t>
            </w:r>
          </w:p>
        </w:tc>
      </w:tr>
      <w:tr w:rsidR="00990354" w:rsidRPr="004E0820" w14:paraId="4C136543" w14:textId="77777777" w:rsidTr="009514E2">
        <w:trP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79EA27DC" w14:textId="72C5594E" w:rsidR="00990354" w:rsidRPr="004E0820" w:rsidRDefault="00961FE4" w:rsidP="009514E2">
            <w:pPr>
              <w:spacing w:before="20" w:after="20"/>
              <w:rPr>
                <w:b w:val="0"/>
                <w:bCs w:val="0"/>
                <w:lang w:val="fr-FR"/>
              </w:rPr>
            </w:pPr>
            <w:r w:rsidRPr="004E0820">
              <w:rPr>
                <w:b w:val="0"/>
                <w:bCs w:val="0"/>
                <w:sz w:val="18"/>
                <w:szCs w:val="18"/>
                <w:lang w:val="fr-FR"/>
              </w:rPr>
              <w:t>MOOV AFRICA NIGER</w:t>
            </w:r>
          </w:p>
        </w:tc>
        <w:tc>
          <w:tcPr>
            <w:tcW w:w="2600" w:type="dxa"/>
            <w:tcMar>
              <w:top w:w="40" w:type="dxa"/>
              <w:bottom w:w="40" w:type="dxa"/>
            </w:tcMar>
          </w:tcPr>
          <w:p w14:paraId="27081171" w14:textId="77777777" w:rsidR="00990354" w:rsidRPr="004E0820" w:rsidRDefault="00990354" w:rsidP="009361F9">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19 (hub 7,2 m à Niamey, 18 stations de 3,8 m)</w:t>
            </w:r>
          </w:p>
        </w:tc>
        <w:tc>
          <w:tcPr>
            <w:tcW w:w="2000" w:type="dxa"/>
            <w:tcMar>
              <w:top w:w="40" w:type="dxa"/>
              <w:bottom w:w="40" w:type="dxa"/>
            </w:tcMar>
          </w:tcPr>
          <w:p w14:paraId="7B91F2E4" w14:textId="77777777" w:rsidR="00990354" w:rsidRPr="004E0820" w:rsidRDefault="00990354" w:rsidP="009361F9">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3 700 – 4 200 MHz</w:t>
            </w:r>
          </w:p>
        </w:tc>
        <w:tc>
          <w:tcPr>
            <w:tcW w:w="2838" w:type="dxa"/>
            <w:tcMar>
              <w:top w:w="40" w:type="dxa"/>
              <w:bottom w:w="40" w:type="dxa"/>
            </w:tcMar>
          </w:tcPr>
          <w:p w14:paraId="292002AD" w14:textId="77777777" w:rsidR="00990354" w:rsidRPr="004E0820" w:rsidRDefault="00990354" w:rsidP="009361F9">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100 MHz, sur le segment 3 700–3 800 MHz</w:t>
            </w:r>
          </w:p>
        </w:tc>
      </w:tr>
      <w:tr w:rsidR="00990354" w:rsidRPr="004E0820" w14:paraId="4357B02F" w14:textId="77777777" w:rsidTr="009514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1F20A0F2" w14:textId="50749840" w:rsidR="00990354" w:rsidRPr="004E0820" w:rsidRDefault="00961FE4" w:rsidP="009514E2">
            <w:pPr>
              <w:spacing w:before="20" w:after="20"/>
              <w:rPr>
                <w:b w:val="0"/>
                <w:bCs w:val="0"/>
                <w:lang w:val="fr-FR"/>
              </w:rPr>
            </w:pPr>
            <w:r w:rsidRPr="004E0820">
              <w:rPr>
                <w:b w:val="0"/>
                <w:bCs w:val="0"/>
                <w:sz w:val="18"/>
                <w:szCs w:val="18"/>
                <w:lang w:val="fr-FR"/>
              </w:rPr>
              <w:t>TDN</w:t>
            </w:r>
          </w:p>
        </w:tc>
        <w:tc>
          <w:tcPr>
            <w:tcW w:w="2600" w:type="dxa"/>
            <w:tcMar>
              <w:top w:w="40" w:type="dxa"/>
              <w:bottom w:w="40" w:type="dxa"/>
            </w:tcMar>
          </w:tcPr>
          <w:p w14:paraId="41CB2314" w14:textId="77777777"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8 (2,4 à 8 m)</w:t>
            </w:r>
          </w:p>
        </w:tc>
        <w:tc>
          <w:tcPr>
            <w:tcW w:w="2000" w:type="dxa"/>
            <w:tcMar>
              <w:top w:w="40" w:type="dxa"/>
              <w:bottom w:w="40" w:type="dxa"/>
            </w:tcMar>
          </w:tcPr>
          <w:p w14:paraId="290D94D4" w14:textId="77777777"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3 600 – 4 200 MHz</w:t>
            </w:r>
          </w:p>
        </w:tc>
        <w:tc>
          <w:tcPr>
            <w:tcW w:w="2838" w:type="dxa"/>
            <w:tcMar>
              <w:top w:w="40" w:type="dxa"/>
              <w:bottom w:w="40" w:type="dxa"/>
            </w:tcMar>
          </w:tcPr>
          <w:p w14:paraId="09134556" w14:textId="77777777" w:rsidR="00990354" w:rsidRPr="004E0820" w:rsidRDefault="00990354" w:rsidP="009361F9">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200 MHz, sur le segment 3 600–3 800 MHz</w:t>
            </w:r>
          </w:p>
        </w:tc>
      </w:tr>
      <w:tr w:rsidR="00990354" w:rsidRPr="00614EF9" w14:paraId="40E0E2C7" w14:textId="77777777" w:rsidTr="009514E2">
        <w:trP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160EE0E8" w14:textId="77777777" w:rsidR="00990354" w:rsidRPr="00614EF9" w:rsidRDefault="00990354" w:rsidP="009514E2">
            <w:pPr>
              <w:spacing w:before="20" w:after="20"/>
              <w:rPr>
                <w:lang w:val="fr-FR"/>
              </w:rPr>
            </w:pPr>
            <w:r w:rsidRPr="00614EF9">
              <w:rPr>
                <w:sz w:val="18"/>
                <w:szCs w:val="18"/>
                <w:lang w:val="fr-FR"/>
              </w:rPr>
              <w:t>Total recensé</w:t>
            </w:r>
          </w:p>
        </w:tc>
        <w:tc>
          <w:tcPr>
            <w:tcW w:w="2600" w:type="dxa"/>
            <w:tcMar>
              <w:top w:w="40" w:type="dxa"/>
              <w:bottom w:w="40" w:type="dxa"/>
            </w:tcMar>
          </w:tcPr>
          <w:p w14:paraId="53D6D1FD" w14:textId="352158C0" w:rsidR="00990354" w:rsidRPr="00614EF9" w:rsidRDefault="00327EF1"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Pr>
                <w:sz w:val="18"/>
                <w:szCs w:val="18"/>
                <w:lang w:val="fr-FR"/>
              </w:rPr>
              <w:t>44</w:t>
            </w:r>
            <w:r w:rsidR="00990354" w:rsidRPr="00614EF9">
              <w:rPr>
                <w:sz w:val="18"/>
                <w:szCs w:val="18"/>
                <w:lang w:val="fr-FR"/>
              </w:rPr>
              <w:t xml:space="preserve"> stations</w:t>
            </w:r>
          </w:p>
        </w:tc>
        <w:tc>
          <w:tcPr>
            <w:tcW w:w="2000" w:type="dxa"/>
            <w:tcMar>
              <w:top w:w="40" w:type="dxa"/>
              <w:bottom w:w="40" w:type="dxa"/>
            </w:tcMar>
          </w:tcPr>
          <w:p w14:paraId="7342A91B" w14:textId="77777777" w:rsidR="00990354" w:rsidRPr="00614EF9" w:rsidRDefault="00990354"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p>
        </w:tc>
        <w:tc>
          <w:tcPr>
            <w:tcW w:w="2838" w:type="dxa"/>
            <w:tcMar>
              <w:top w:w="40" w:type="dxa"/>
              <w:bottom w:w="40" w:type="dxa"/>
            </w:tcMar>
          </w:tcPr>
          <w:p w14:paraId="5F5E549D" w14:textId="77777777" w:rsidR="00990354" w:rsidRPr="00614EF9" w:rsidRDefault="00990354" w:rsidP="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p>
        </w:tc>
      </w:tr>
    </w:tbl>
    <w:p w14:paraId="0E68BAAC" w14:textId="77777777" w:rsidR="00713491" w:rsidRPr="00614EF9" w:rsidRDefault="00713491" w:rsidP="00713491">
      <w:pPr>
        <w:pStyle w:val="Lgende"/>
        <w:spacing w:before="120" w:after="120"/>
        <w:rPr>
          <w:color w:val="000000" w:themeColor="text1"/>
          <w:lang w:val="fr-FR"/>
        </w:rPr>
      </w:pPr>
      <w:bookmarkStart w:id="87" w:name="_Ref240362823"/>
      <w:bookmarkStart w:id="88" w:name="_Toc240614522"/>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8</w:t>
      </w:r>
      <w:r w:rsidRPr="00614EF9">
        <w:rPr>
          <w:color w:val="000000" w:themeColor="text1"/>
          <w:lang w:val="fr-FR"/>
        </w:rPr>
        <w:fldChar w:fldCharType="end"/>
      </w:r>
      <w:r w:rsidRPr="00614EF9">
        <w:rPr>
          <w:color w:val="000000" w:themeColor="text1"/>
          <w:lang w:val="fr-FR"/>
        </w:rPr>
        <w:t xml:space="preserve">: </w:t>
      </w:r>
      <w:bookmarkEnd w:id="87"/>
      <w:r w:rsidRPr="00614EF9">
        <w:rPr>
          <w:color w:val="000000" w:themeColor="text1"/>
          <w:lang w:val="fr-FR"/>
        </w:rPr>
        <w:t>Liste des exploitants de stations terriennes du SFS en bande C</w:t>
      </w:r>
      <w:bookmarkEnd w:id="88"/>
    </w:p>
    <w:p w14:paraId="62CE0BCF" w14:textId="4A7E3FC4" w:rsidR="003A2650" w:rsidRPr="00614EF9" w:rsidRDefault="006E2A47">
      <w:pPr>
        <w:spacing w:before="60"/>
        <w:rPr>
          <w:lang w:val="fr-FR"/>
        </w:rPr>
      </w:pPr>
      <w:r w:rsidRPr="00614EF9">
        <w:rPr>
          <w:lang w:val="fr-FR"/>
        </w:rPr>
        <w:t xml:space="preserve">Le </w:t>
      </w:r>
      <w:r w:rsidRPr="00614EF9">
        <w:rPr>
          <w:lang w:val="fr-FR"/>
        </w:rPr>
        <w:fldChar w:fldCharType="begin"/>
      </w:r>
      <w:r w:rsidRPr="00614EF9">
        <w:rPr>
          <w:lang w:val="fr-FR"/>
        </w:rPr>
        <w:instrText xml:space="preserve"> REF _Ref240363386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9</w:t>
      </w:r>
      <w:r w:rsidR="007A7843" w:rsidRPr="00614EF9">
        <w:rPr>
          <w:color w:val="000000" w:themeColor="text1"/>
          <w:lang w:val="fr-FR"/>
        </w:rPr>
        <w:t xml:space="preserve"> </w:t>
      </w:r>
      <w:r w:rsidRPr="00614EF9">
        <w:rPr>
          <w:lang w:val="fr-FR"/>
        </w:rPr>
        <w:fldChar w:fldCharType="end"/>
      </w:r>
      <w:r w:rsidR="00B62BA1" w:rsidRPr="00614EF9">
        <w:rPr>
          <w:lang w:val="fr-FR"/>
        </w:rPr>
        <w:t>ci-dessous les décrit.</w:t>
      </w:r>
    </w:p>
    <w:tbl>
      <w:tblPr>
        <w:tblStyle w:val="TableauGrille4-Accentuation3"/>
        <w:tblW w:w="9780" w:type="dxa"/>
        <w:jc w:val="center"/>
        <w:tblLayout w:type="fixed"/>
        <w:tblLook w:val="04A0" w:firstRow="1" w:lastRow="0" w:firstColumn="1" w:lastColumn="0" w:noHBand="0" w:noVBand="1"/>
      </w:tblPr>
      <w:tblGrid>
        <w:gridCol w:w="1412"/>
        <w:gridCol w:w="1706"/>
        <w:gridCol w:w="1418"/>
        <w:gridCol w:w="1417"/>
        <w:gridCol w:w="2410"/>
        <w:gridCol w:w="1417"/>
      </w:tblGrid>
      <w:tr w:rsidR="00990354" w:rsidRPr="00614EF9" w14:paraId="5568B8BD" w14:textId="77777777" w:rsidTr="0099035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12" w:type="dxa"/>
          </w:tcPr>
          <w:p w14:paraId="15A7EE4D" w14:textId="77777777" w:rsidR="00990354" w:rsidRPr="00614EF9" w:rsidRDefault="00990354">
            <w:pPr>
              <w:spacing w:before="20" w:after="20"/>
              <w:rPr>
                <w:color w:val="FFFFFF"/>
                <w:sz w:val="18"/>
                <w:szCs w:val="18"/>
                <w:lang w:val="fr-FR"/>
              </w:rPr>
            </w:pPr>
            <w:r w:rsidRPr="00614EF9">
              <w:rPr>
                <w:color w:val="FFFFFF"/>
                <w:sz w:val="18"/>
                <w:szCs w:val="18"/>
                <w:lang w:val="fr-FR"/>
              </w:rPr>
              <w:t>Exploitant</w:t>
            </w:r>
          </w:p>
        </w:tc>
        <w:tc>
          <w:tcPr>
            <w:tcW w:w="1706" w:type="dxa"/>
            <w:tcMar>
              <w:top w:w="40" w:type="dxa"/>
              <w:bottom w:w="40" w:type="dxa"/>
            </w:tcMar>
          </w:tcPr>
          <w:p w14:paraId="666DBB3D" w14:textId="77777777" w:rsidR="00990354" w:rsidRPr="00614EF9" w:rsidRDefault="00990354">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Site</w:t>
            </w:r>
          </w:p>
        </w:tc>
        <w:tc>
          <w:tcPr>
            <w:tcW w:w="1418" w:type="dxa"/>
            <w:tcMar>
              <w:top w:w="40" w:type="dxa"/>
              <w:bottom w:w="40" w:type="dxa"/>
            </w:tcMar>
          </w:tcPr>
          <w:p w14:paraId="1AB50700" w14:textId="77777777" w:rsidR="00990354" w:rsidRPr="00614EF9" w:rsidRDefault="00990354">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Plage reçue (MHz)</w:t>
            </w:r>
          </w:p>
        </w:tc>
        <w:tc>
          <w:tcPr>
            <w:tcW w:w="1417" w:type="dxa"/>
            <w:tcMar>
              <w:top w:w="40" w:type="dxa"/>
              <w:bottom w:w="40" w:type="dxa"/>
            </w:tcMar>
          </w:tcPr>
          <w:p w14:paraId="2DDA5DCC" w14:textId="77777777" w:rsidR="00990354" w:rsidRPr="00614EF9" w:rsidRDefault="00990354">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Antennes (m)</w:t>
            </w:r>
          </w:p>
        </w:tc>
        <w:tc>
          <w:tcPr>
            <w:tcW w:w="2410" w:type="dxa"/>
            <w:tcMar>
              <w:top w:w="40" w:type="dxa"/>
              <w:bottom w:w="40" w:type="dxa"/>
            </w:tcMar>
          </w:tcPr>
          <w:p w14:paraId="2D4D29EF" w14:textId="77777777" w:rsidR="00990354" w:rsidRPr="00614EF9" w:rsidRDefault="00990354">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Satellites et services</w:t>
            </w:r>
          </w:p>
        </w:tc>
        <w:tc>
          <w:tcPr>
            <w:tcW w:w="1417" w:type="dxa"/>
            <w:tcMar>
              <w:top w:w="40" w:type="dxa"/>
              <w:bottom w:w="40" w:type="dxa"/>
            </w:tcMar>
          </w:tcPr>
          <w:p w14:paraId="044E92F7" w14:textId="77777777" w:rsidR="00990354" w:rsidRPr="00614EF9" w:rsidRDefault="00990354">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Criticité</w:t>
            </w:r>
          </w:p>
        </w:tc>
      </w:tr>
      <w:tr w:rsidR="00990354" w:rsidRPr="004E0820" w14:paraId="24BC0D72"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2" w:type="dxa"/>
          </w:tcPr>
          <w:p w14:paraId="2D840E8B" w14:textId="77777777" w:rsidR="00990354" w:rsidRPr="004E0820" w:rsidRDefault="00AD7090">
            <w:pPr>
              <w:spacing w:before="20" w:after="20"/>
              <w:rPr>
                <w:b w:val="0"/>
                <w:bCs w:val="0"/>
                <w:sz w:val="18"/>
                <w:szCs w:val="18"/>
                <w:lang w:val="fr-FR"/>
              </w:rPr>
            </w:pPr>
            <w:r w:rsidRPr="004E0820">
              <w:rPr>
                <w:b w:val="0"/>
                <w:bCs w:val="0"/>
                <w:sz w:val="18"/>
                <w:szCs w:val="18"/>
                <w:lang w:val="fr-FR"/>
              </w:rPr>
              <w:t>TDN</w:t>
            </w:r>
          </w:p>
        </w:tc>
        <w:tc>
          <w:tcPr>
            <w:tcW w:w="1706" w:type="dxa"/>
            <w:tcMar>
              <w:top w:w="40" w:type="dxa"/>
              <w:bottom w:w="40" w:type="dxa"/>
            </w:tcMar>
          </w:tcPr>
          <w:p w14:paraId="3E2EA2D8" w14:textId="77777777" w:rsidR="00990354" w:rsidRPr="004E0820" w:rsidRDefault="00990354">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Niamey PK5</w:t>
            </w:r>
          </w:p>
        </w:tc>
        <w:tc>
          <w:tcPr>
            <w:tcW w:w="1418" w:type="dxa"/>
            <w:tcMar>
              <w:top w:w="40" w:type="dxa"/>
              <w:bottom w:w="40" w:type="dxa"/>
            </w:tcMar>
          </w:tcPr>
          <w:p w14:paraId="1E2A02BA" w14:textId="77777777" w:rsidR="00990354" w:rsidRPr="004E0820" w:rsidRDefault="00990354">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3 600–4 200</w:t>
            </w:r>
          </w:p>
        </w:tc>
        <w:tc>
          <w:tcPr>
            <w:tcW w:w="1417" w:type="dxa"/>
            <w:tcMar>
              <w:top w:w="40" w:type="dxa"/>
              <w:bottom w:w="40" w:type="dxa"/>
            </w:tcMar>
          </w:tcPr>
          <w:p w14:paraId="4CB74D45" w14:textId="77777777" w:rsidR="00990354" w:rsidRPr="004E0820" w:rsidRDefault="00990354">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4,8 / 3,8 / 2,4</w:t>
            </w:r>
          </w:p>
        </w:tc>
        <w:tc>
          <w:tcPr>
            <w:tcW w:w="2410" w:type="dxa"/>
            <w:tcMar>
              <w:top w:w="40" w:type="dxa"/>
              <w:bottom w:w="40" w:type="dxa"/>
            </w:tcMar>
          </w:tcPr>
          <w:p w14:paraId="2F1C36A5" w14:textId="77777777" w:rsidR="00990354" w:rsidRPr="004E0820" w:rsidRDefault="00990354">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BADR 8 (TNT Niger) ; Eutelsat 3B (Radio AES) ; Intelsat 36E (AES TV)</w:t>
            </w:r>
          </w:p>
        </w:tc>
        <w:tc>
          <w:tcPr>
            <w:tcW w:w="1417" w:type="dxa"/>
            <w:tcMar>
              <w:top w:w="40" w:type="dxa"/>
              <w:bottom w:w="40" w:type="dxa"/>
            </w:tcMar>
          </w:tcPr>
          <w:p w14:paraId="686924F7" w14:textId="77777777" w:rsidR="00990354" w:rsidRPr="004E0820" w:rsidRDefault="00990354">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Très élevée</w:t>
            </w:r>
          </w:p>
        </w:tc>
      </w:tr>
      <w:tr w:rsidR="00990354" w:rsidRPr="004E0820" w14:paraId="1AAE53C8"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1412" w:type="dxa"/>
          </w:tcPr>
          <w:p w14:paraId="5D5C8F9A" w14:textId="77777777" w:rsidR="00990354" w:rsidRPr="004E0820" w:rsidRDefault="00990354">
            <w:pPr>
              <w:spacing w:before="20" w:after="20"/>
              <w:rPr>
                <w:b w:val="0"/>
                <w:bCs w:val="0"/>
                <w:sz w:val="18"/>
                <w:szCs w:val="18"/>
                <w:lang w:val="fr-FR"/>
              </w:rPr>
            </w:pPr>
          </w:p>
        </w:tc>
        <w:tc>
          <w:tcPr>
            <w:tcW w:w="1706" w:type="dxa"/>
            <w:tcMar>
              <w:top w:w="40" w:type="dxa"/>
              <w:bottom w:w="40" w:type="dxa"/>
            </w:tcMar>
          </w:tcPr>
          <w:p w14:paraId="42FDE1D5" w14:textId="77777777" w:rsidR="00990354" w:rsidRPr="004E0820" w:rsidRDefault="00990354">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Agadez, Diffa, Dosso, Maradi, Tahoua, Tillabéri, Zinder</w:t>
            </w:r>
          </w:p>
        </w:tc>
        <w:tc>
          <w:tcPr>
            <w:tcW w:w="1418" w:type="dxa"/>
            <w:tcMar>
              <w:top w:w="40" w:type="dxa"/>
              <w:bottom w:w="40" w:type="dxa"/>
            </w:tcMar>
          </w:tcPr>
          <w:p w14:paraId="20CD8EE2" w14:textId="77777777" w:rsidR="00990354" w:rsidRPr="004E0820" w:rsidRDefault="00990354">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3 600–4 200</w:t>
            </w:r>
          </w:p>
        </w:tc>
        <w:tc>
          <w:tcPr>
            <w:tcW w:w="1417" w:type="dxa"/>
            <w:tcMar>
              <w:top w:w="40" w:type="dxa"/>
              <w:bottom w:w="40" w:type="dxa"/>
            </w:tcMar>
          </w:tcPr>
          <w:p w14:paraId="08EF3A2A" w14:textId="77777777" w:rsidR="00990354" w:rsidRPr="004E0820" w:rsidRDefault="00990354">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3,7 / 2,4</w:t>
            </w:r>
          </w:p>
        </w:tc>
        <w:tc>
          <w:tcPr>
            <w:tcW w:w="2410" w:type="dxa"/>
            <w:tcMar>
              <w:top w:w="40" w:type="dxa"/>
              <w:bottom w:w="40" w:type="dxa"/>
            </w:tcMar>
          </w:tcPr>
          <w:p w14:paraId="5C970A5D" w14:textId="77777777" w:rsidR="00990354" w:rsidRPr="004E0820" w:rsidRDefault="00990354">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BADR 8 (TNT Niger)</w:t>
            </w:r>
          </w:p>
        </w:tc>
        <w:tc>
          <w:tcPr>
            <w:tcW w:w="1417" w:type="dxa"/>
            <w:tcMar>
              <w:top w:w="40" w:type="dxa"/>
              <w:bottom w:w="40" w:type="dxa"/>
            </w:tcMar>
          </w:tcPr>
          <w:p w14:paraId="297578F7" w14:textId="77777777" w:rsidR="00990354" w:rsidRPr="004E0820" w:rsidRDefault="00990354">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Non renseignée</w:t>
            </w:r>
          </w:p>
        </w:tc>
      </w:tr>
      <w:tr w:rsidR="00BF4D09" w:rsidRPr="004E0820" w14:paraId="4EEA3C10" w14:textId="77777777" w:rsidTr="009903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2" w:type="dxa"/>
          </w:tcPr>
          <w:p w14:paraId="2CD0CE0A" w14:textId="7320D691" w:rsidR="00BF4D09" w:rsidRPr="004E0820" w:rsidRDefault="00961FE4" w:rsidP="00BF4D09">
            <w:pPr>
              <w:spacing w:before="20" w:after="20"/>
              <w:rPr>
                <w:b w:val="0"/>
                <w:bCs w:val="0"/>
                <w:sz w:val="18"/>
                <w:szCs w:val="18"/>
                <w:lang w:val="fr-FR"/>
              </w:rPr>
            </w:pPr>
            <w:r w:rsidRPr="004E0820">
              <w:rPr>
                <w:b w:val="0"/>
                <w:bCs w:val="0"/>
                <w:sz w:val="18"/>
                <w:szCs w:val="18"/>
                <w:lang w:val="fr-FR"/>
              </w:rPr>
              <w:t>CELTEL NIGER</w:t>
            </w:r>
          </w:p>
        </w:tc>
        <w:tc>
          <w:tcPr>
            <w:tcW w:w="1706" w:type="dxa"/>
            <w:tcMar>
              <w:top w:w="40" w:type="dxa"/>
              <w:bottom w:w="40" w:type="dxa"/>
            </w:tcMar>
          </w:tcPr>
          <w:p w14:paraId="617D19D1" w14:textId="77777777" w:rsidR="00BF4D09" w:rsidRPr="004E0820" w:rsidRDefault="00BF4D09" w:rsidP="00BF4D09">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
        </w:tc>
        <w:tc>
          <w:tcPr>
            <w:tcW w:w="1418" w:type="dxa"/>
            <w:tcMar>
              <w:top w:w="40" w:type="dxa"/>
              <w:bottom w:w="40" w:type="dxa"/>
            </w:tcMar>
          </w:tcPr>
          <w:p w14:paraId="17544C02" w14:textId="77777777" w:rsidR="00BF4D09" w:rsidRPr="004E0820" w:rsidRDefault="00BF4D09" w:rsidP="00BF4D09">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
        </w:tc>
        <w:tc>
          <w:tcPr>
            <w:tcW w:w="1417" w:type="dxa"/>
            <w:tcMar>
              <w:top w:w="40" w:type="dxa"/>
              <w:bottom w:w="40" w:type="dxa"/>
            </w:tcMar>
          </w:tcPr>
          <w:p w14:paraId="17F49D7B" w14:textId="77777777" w:rsidR="00BF4D09" w:rsidRPr="004E0820" w:rsidRDefault="00BF4D09" w:rsidP="00BF4D09">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
        </w:tc>
        <w:tc>
          <w:tcPr>
            <w:tcW w:w="2410" w:type="dxa"/>
            <w:tcMar>
              <w:top w:w="40" w:type="dxa"/>
              <w:bottom w:w="40" w:type="dxa"/>
            </w:tcMar>
          </w:tcPr>
          <w:p w14:paraId="1E4A265E" w14:textId="77777777" w:rsidR="00BF4D09" w:rsidRPr="004E0820" w:rsidRDefault="00BF4D09" w:rsidP="00BF4D09">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
        </w:tc>
        <w:tc>
          <w:tcPr>
            <w:tcW w:w="1417" w:type="dxa"/>
            <w:tcMar>
              <w:top w:w="40" w:type="dxa"/>
              <w:bottom w:w="40" w:type="dxa"/>
            </w:tcMar>
          </w:tcPr>
          <w:p w14:paraId="1DAE9DD8" w14:textId="77777777" w:rsidR="00BF4D09" w:rsidRPr="004E0820" w:rsidRDefault="00BF4D09" w:rsidP="00BF4D09">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p>
        </w:tc>
      </w:tr>
      <w:tr w:rsidR="00BF4D09" w:rsidRPr="004E0820" w14:paraId="6585A144" w14:textId="77777777" w:rsidTr="00990354">
        <w:trPr>
          <w:jc w:val="center"/>
        </w:trPr>
        <w:tc>
          <w:tcPr>
            <w:cnfStyle w:val="001000000000" w:firstRow="0" w:lastRow="0" w:firstColumn="1" w:lastColumn="0" w:oddVBand="0" w:evenVBand="0" w:oddHBand="0" w:evenHBand="0" w:firstRowFirstColumn="0" w:firstRowLastColumn="0" w:lastRowFirstColumn="0" w:lastRowLastColumn="0"/>
            <w:tcW w:w="1412" w:type="dxa"/>
          </w:tcPr>
          <w:p w14:paraId="0B0F0E6D" w14:textId="6B959CD4" w:rsidR="00BF4D09" w:rsidRPr="004E0820" w:rsidRDefault="00961FE4" w:rsidP="00BF4D09">
            <w:pPr>
              <w:spacing w:before="20" w:after="20"/>
              <w:rPr>
                <w:b w:val="0"/>
                <w:bCs w:val="0"/>
                <w:sz w:val="18"/>
                <w:szCs w:val="18"/>
                <w:lang w:val="fr-FR"/>
              </w:rPr>
            </w:pPr>
            <w:r w:rsidRPr="004E0820">
              <w:rPr>
                <w:b w:val="0"/>
                <w:bCs w:val="0"/>
                <w:sz w:val="18"/>
                <w:szCs w:val="18"/>
                <w:lang w:val="fr-FR"/>
              </w:rPr>
              <w:t>MOOV AFRICA NIGER</w:t>
            </w:r>
          </w:p>
        </w:tc>
        <w:tc>
          <w:tcPr>
            <w:tcW w:w="1706" w:type="dxa"/>
            <w:tcMar>
              <w:top w:w="40" w:type="dxa"/>
              <w:bottom w:w="40" w:type="dxa"/>
            </w:tcMar>
          </w:tcPr>
          <w:p w14:paraId="5BA9328E" w14:textId="77777777" w:rsidR="00BF4D09" w:rsidRPr="004E0820" w:rsidRDefault="00BF4D09" w:rsidP="00BF4D09">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
        </w:tc>
        <w:tc>
          <w:tcPr>
            <w:tcW w:w="1418" w:type="dxa"/>
            <w:tcMar>
              <w:top w:w="40" w:type="dxa"/>
              <w:bottom w:w="40" w:type="dxa"/>
            </w:tcMar>
          </w:tcPr>
          <w:p w14:paraId="05054BF4" w14:textId="77777777" w:rsidR="00BF4D09" w:rsidRPr="004E0820" w:rsidRDefault="00BF4D09" w:rsidP="00BF4D09">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
        </w:tc>
        <w:tc>
          <w:tcPr>
            <w:tcW w:w="1417" w:type="dxa"/>
            <w:tcMar>
              <w:top w:w="40" w:type="dxa"/>
              <w:bottom w:w="40" w:type="dxa"/>
            </w:tcMar>
          </w:tcPr>
          <w:p w14:paraId="373F855D" w14:textId="77777777" w:rsidR="00BF4D09" w:rsidRPr="004E0820" w:rsidRDefault="00BF4D09" w:rsidP="00BF4D09">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
        </w:tc>
        <w:tc>
          <w:tcPr>
            <w:tcW w:w="2410" w:type="dxa"/>
            <w:tcMar>
              <w:top w:w="40" w:type="dxa"/>
              <w:bottom w:w="40" w:type="dxa"/>
            </w:tcMar>
          </w:tcPr>
          <w:p w14:paraId="1AEC23B1" w14:textId="77777777" w:rsidR="00BF4D09" w:rsidRPr="004E0820" w:rsidRDefault="00BF4D09" w:rsidP="00BF4D09">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
        </w:tc>
        <w:tc>
          <w:tcPr>
            <w:tcW w:w="1417" w:type="dxa"/>
            <w:tcMar>
              <w:top w:w="40" w:type="dxa"/>
              <w:bottom w:w="40" w:type="dxa"/>
            </w:tcMar>
          </w:tcPr>
          <w:p w14:paraId="70220E25" w14:textId="77777777" w:rsidR="00BF4D09" w:rsidRPr="004E0820" w:rsidRDefault="00BF4D09" w:rsidP="00BF4D09">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p>
        </w:tc>
      </w:tr>
    </w:tbl>
    <w:p w14:paraId="5288A942" w14:textId="77777777" w:rsidR="00AD7090" w:rsidRPr="00614EF9" w:rsidRDefault="00AD7090" w:rsidP="00AD7090">
      <w:pPr>
        <w:pStyle w:val="Lgende"/>
        <w:spacing w:before="120" w:after="120"/>
        <w:rPr>
          <w:color w:val="000000" w:themeColor="text1"/>
          <w:lang w:val="fr-FR"/>
        </w:rPr>
      </w:pPr>
      <w:bookmarkStart w:id="89" w:name="_Ref240363386"/>
      <w:bookmarkStart w:id="90" w:name="_Toc240614523"/>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9</w:t>
      </w:r>
      <w:r w:rsidRPr="00614EF9">
        <w:rPr>
          <w:color w:val="000000" w:themeColor="text1"/>
          <w:lang w:val="fr-FR"/>
        </w:rPr>
        <w:fldChar w:fldCharType="end"/>
      </w:r>
      <w:r w:rsidRPr="00614EF9">
        <w:rPr>
          <w:color w:val="000000" w:themeColor="text1"/>
          <w:lang w:val="fr-FR"/>
        </w:rPr>
        <w:t>: Description des stations terriennes du SFS en bande C</w:t>
      </w:r>
      <w:bookmarkEnd w:id="89"/>
      <w:bookmarkEnd w:id="90"/>
    </w:p>
    <w:p w14:paraId="5FD236F8" w14:textId="77777777" w:rsidR="00AD7090" w:rsidRPr="00614EF9" w:rsidRDefault="00AD7090" w:rsidP="00AD7090">
      <w:pPr>
        <w:spacing w:before="60"/>
        <w:rPr>
          <w:lang w:val="fr-FR"/>
        </w:rPr>
      </w:pPr>
      <w:r w:rsidRPr="00614EF9">
        <w:rPr>
          <w:lang w:val="fr-FR"/>
        </w:rPr>
        <w:t>Les huit stations de TDN qui servent à la réception en bande C sont exploitées sur la plage 3 600–4 200 MHz, principalement pour la collecte des programmes de la télévision numérique terrestre. La station de Niamey PK5, qui reçoit trois satellites, est déclarée de criticité très élevée.</w:t>
      </w:r>
    </w:p>
    <w:p w14:paraId="38872096" w14:textId="77777777" w:rsidR="000614D8" w:rsidRPr="00614EF9" w:rsidRDefault="00990354" w:rsidP="007E0FED">
      <w:pPr>
        <w:pStyle w:val="Titre4"/>
        <w:rPr>
          <w:lang w:val="fr-FR"/>
        </w:rPr>
      </w:pPr>
      <w:bookmarkStart w:id="91" w:name="_Toc240614372"/>
      <w:r w:rsidRPr="00614EF9">
        <w:rPr>
          <w:lang w:val="fr-FR"/>
        </w:rPr>
        <w:t>Réseaux accès hertzien fixe</w:t>
      </w:r>
      <w:bookmarkEnd w:id="91"/>
      <w:r w:rsidRPr="00614EF9">
        <w:rPr>
          <w:lang w:val="fr-FR"/>
        </w:rPr>
        <w:t xml:space="preserve"> </w:t>
      </w:r>
    </w:p>
    <w:p w14:paraId="32F9FA54" w14:textId="178C4F34" w:rsidR="00E058B1" w:rsidRPr="00614EF9" w:rsidRDefault="001C4511" w:rsidP="000614D8">
      <w:pPr>
        <w:spacing w:before="60"/>
        <w:rPr>
          <w:lang w:val="fr-FR"/>
        </w:rPr>
      </w:pPr>
      <w:r w:rsidRPr="00614EF9">
        <w:rPr>
          <w:lang w:val="fr-FR"/>
        </w:rPr>
        <w:t xml:space="preserve">LIPTINFOR </w:t>
      </w:r>
      <w:r w:rsidR="000614D8" w:rsidRPr="00614EF9">
        <w:rPr>
          <w:lang w:val="fr-FR"/>
        </w:rPr>
        <w:t xml:space="preserve">déclare deux points d’accès, exploités à 3 440 et 3 525 MHz, qui desservent huit abonnés. AFR-IX a déjà migré son réseau de la bande C vers la bande 5 GHz. Le parc résiduel d’accès hertzien fixe en bande </w:t>
      </w:r>
      <w:proofErr w:type="spellStart"/>
      <w:r w:rsidR="000614D8" w:rsidRPr="00614EF9">
        <w:rPr>
          <w:lang w:val="fr-FR"/>
        </w:rPr>
        <w:t>C</w:t>
      </w:r>
      <w:r w:rsidR="004609B0" w:rsidRPr="00614EF9">
        <w:rPr>
          <w:lang w:val="fr-FR"/>
        </w:rPr>
        <w:t xml:space="preserve"> </w:t>
      </w:r>
      <w:r w:rsidR="000614D8" w:rsidRPr="00614EF9">
        <w:rPr>
          <w:lang w:val="fr-FR"/>
        </w:rPr>
        <w:t>est</w:t>
      </w:r>
      <w:proofErr w:type="spellEnd"/>
      <w:r w:rsidR="000614D8" w:rsidRPr="00614EF9">
        <w:rPr>
          <w:lang w:val="fr-FR"/>
        </w:rPr>
        <w:t xml:space="preserve"> donc marginal.</w:t>
      </w:r>
    </w:p>
    <w:p w14:paraId="4FE43BDD" w14:textId="77777777" w:rsidR="007C757E" w:rsidRPr="00614EF9" w:rsidRDefault="009514E2" w:rsidP="007D4BE4">
      <w:pPr>
        <w:pStyle w:val="Titre2"/>
        <w:rPr>
          <w:lang w:val="fr-FR"/>
        </w:rPr>
      </w:pPr>
      <w:bookmarkStart w:id="92" w:name="_Toc232062292"/>
      <w:bookmarkStart w:id="93" w:name="_Toc236636369"/>
      <w:bookmarkStart w:id="94" w:name="_Toc240614373"/>
      <w:r w:rsidRPr="00614EF9">
        <w:rPr>
          <w:lang w:val="fr-FR"/>
        </w:rPr>
        <w:t>Analyse de l’utilisation effective</w:t>
      </w:r>
      <w:bookmarkEnd w:id="92"/>
      <w:bookmarkEnd w:id="93"/>
      <w:bookmarkEnd w:id="94"/>
    </w:p>
    <w:p w14:paraId="01D9797C" w14:textId="77777777" w:rsidR="008E3BDE" w:rsidRPr="00614EF9" w:rsidRDefault="008E3BDE" w:rsidP="0066730D">
      <w:pPr>
        <w:pStyle w:val="Titre3"/>
        <w:rPr>
          <w:lang w:val="fr-FR"/>
        </w:rPr>
      </w:pPr>
      <w:bookmarkStart w:id="95" w:name="_Toc240614374"/>
      <w:r w:rsidRPr="00614EF9">
        <w:rPr>
          <w:lang w:val="fr-FR"/>
        </w:rPr>
        <w:t>Volet 600 MHz</w:t>
      </w:r>
      <w:bookmarkEnd w:id="95"/>
    </w:p>
    <w:p w14:paraId="0F16489E" w14:textId="6D7B5843" w:rsidR="001216D7" w:rsidRPr="00614EF9" w:rsidRDefault="001216D7">
      <w:pPr>
        <w:spacing w:before="60"/>
        <w:rPr>
          <w:lang w:val="fr-FR"/>
        </w:rPr>
      </w:pPr>
      <w:r w:rsidRPr="00614EF9">
        <w:rPr>
          <w:lang w:val="fr-FR"/>
        </w:rPr>
        <w:t>L’occupation de la bande 600 MHz est faible. Elle se limite à quatre émetteurs numériques (</w:t>
      </w:r>
      <w:proofErr w:type="spellStart"/>
      <w:r w:rsidRPr="00614EF9">
        <w:rPr>
          <w:i/>
          <w:iCs/>
          <w:lang w:val="fr-FR"/>
        </w:rPr>
        <w:t>Balleyara</w:t>
      </w:r>
      <w:proofErr w:type="spellEnd"/>
      <w:r w:rsidRPr="00614EF9">
        <w:rPr>
          <w:i/>
          <w:iCs/>
          <w:lang w:val="fr-FR"/>
        </w:rPr>
        <w:t>, Bouza, Dakoro et Madama</w:t>
      </w:r>
      <w:r w:rsidRPr="00614EF9">
        <w:rPr>
          <w:lang w:val="fr-FR"/>
        </w:rPr>
        <w:t>), pour un seul multiplex et des puissances comprises entre 0,100 et 0,130 kW</w:t>
      </w:r>
      <w:r w:rsidR="00107B9F" w:rsidRPr="00614EF9">
        <w:rPr>
          <w:lang w:val="fr-FR"/>
        </w:rPr>
        <w:fldChar w:fldCharType="begin"/>
      </w:r>
      <w:r w:rsidR="00107B9F" w:rsidRPr="00614EF9">
        <w:instrText xml:space="preserve"> XE "</w:instrText>
      </w:r>
      <w:proofErr w:type="gramStart"/>
      <w:r w:rsidR="00107B9F" w:rsidRPr="00614EF9">
        <w:rPr>
          <w:lang w:val="fr-FR"/>
        </w:rPr>
        <w:instrText>kW:</w:instrText>
      </w:r>
      <w:r w:rsidR="00107B9F" w:rsidRPr="00614EF9">
        <w:instrText>kilo</w:instrText>
      </w:r>
      <w:proofErr w:type="gramEnd"/>
      <w:r w:rsidR="00107B9F" w:rsidRPr="00614EF9">
        <w:instrText xml:space="preserve"> Watt" </w:instrText>
      </w:r>
      <w:r w:rsidR="00107B9F" w:rsidRPr="00614EF9">
        <w:rPr>
          <w:lang w:val="fr-FR"/>
        </w:rPr>
        <w:fldChar w:fldCharType="end"/>
      </w:r>
      <w:r w:rsidRPr="00614EF9">
        <w:rPr>
          <w:lang w:val="fr-FR"/>
        </w:rPr>
        <w:t xml:space="preserve">, auxquels s’ajoute un émetteur analogique à </w:t>
      </w:r>
      <w:proofErr w:type="spellStart"/>
      <w:r w:rsidRPr="00614EF9">
        <w:rPr>
          <w:i/>
          <w:iCs/>
          <w:lang w:val="fr-FR"/>
        </w:rPr>
        <w:t>Iférouane</w:t>
      </w:r>
      <w:proofErr w:type="spellEnd"/>
      <w:r w:rsidRPr="00614EF9">
        <w:rPr>
          <w:lang w:val="fr-FR"/>
        </w:rPr>
        <w:t xml:space="preserve"> de 0,250 kW.</w:t>
      </w:r>
    </w:p>
    <w:p w14:paraId="64EC7C36" w14:textId="77777777" w:rsidR="003A2650" w:rsidRPr="00614EF9" w:rsidRDefault="009514E2">
      <w:pPr>
        <w:spacing w:before="60"/>
        <w:rPr>
          <w:lang w:val="fr-FR"/>
        </w:rPr>
      </w:pPr>
      <w:r w:rsidRPr="00614EF9">
        <w:rPr>
          <w:lang w:val="fr-FR"/>
        </w:rPr>
        <w:t>Cette occupation limitée corrobore le constat d'une offre de radiodiffusion télévisuelle numérique terrestre restreinte au regard de la ressource spectrale mobilisée.</w:t>
      </w:r>
    </w:p>
    <w:p w14:paraId="5F6617E8" w14:textId="5ABA756E" w:rsidR="00D164A2" w:rsidRPr="00614EF9" w:rsidRDefault="00D164A2">
      <w:pPr>
        <w:spacing w:before="60"/>
        <w:rPr>
          <w:lang w:val="fr-FR"/>
        </w:rPr>
      </w:pPr>
      <w:r w:rsidRPr="00614EF9">
        <w:rPr>
          <w:lang w:val="fr-FR"/>
        </w:rPr>
        <w:lastRenderedPageBreak/>
        <w:t xml:space="preserve">Toutefois, dans l’éventualité d’une libération de cette </w:t>
      </w:r>
      <w:r w:rsidR="005D1CFF" w:rsidRPr="00614EF9">
        <w:rPr>
          <w:lang w:val="fr-FR"/>
        </w:rPr>
        <w:t>bande :</w:t>
      </w:r>
    </w:p>
    <w:p w14:paraId="6AAFF585" w14:textId="7F3B2803" w:rsidR="00D164A2" w:rsidRPr="00614EF9" w:rsidRDefault="00D164A2">
      <w:pPr>
        <w:pStyle w:val="Paragraphedeliste"/>
        <w:numPr>
          <w:ilvl w:val="1"/>
          <w:numId w:val="3"/>
        </w:numPr>
        <w:spacing w:before="60"/>
        <w:jc w:val="both"/>
        <w:rPr>
          <w:rFonts w:ascii="Century Gothic" w:hAnsi="Century Gothic"/>
          <w:sz w:val="24"/>
          <w:szCs w:val="24"/>
          <w:lang w:val="fr-FR"/>
        </w:rPr>
      </w:pPr>
      <w:proofErr w:type="spellStart"/>
      <w:r w:rsidRPr="00614EF9">
        <w:rPr>
          <w:rFonts w:ascii="Century Gothic" w:hAnsi="Century Gothic"/>
          <w:sz w:val="24"/>
          <w:szCs w:val="24"/>
          <w:lang w:val="fr-FR"/>
        </w:rPr>
        <w:t>Balleyara</w:t>
      </w:r>
      <w:proofErr w:type="spellEnd"/>
      <w:r w:rsidRPr="00614EF9">
        <w:rPr>
          <w:rFonts w:ascii="Century Gothic" w:hAnsi="Century Gothic"/>
          <w:sz w:val="24"/>
          <w:szCs w:val="24"/>
          <w:lang w:val="fr-FR"/>
        </w:rPr>
        <w:t xml:space="preserve"> et Dakoro appellent une </w:t>
      </w:r>
      <w:r w:rsidR="005D1CFF" w:rsidRPr="00614EF9">
        <w:rPr>
          <w:rFonts w:ascii="Century Gothic" w:hAnsi="Century Gothic"/>
          <w:sz w:val="24"/>
          <w:szCs w:val="24"/>
          <w:lang w:val="fr-FR"/>
        </w:rPr>
        <w:t>replanification</w:t>
      </w:r>
      <w:r w:rsidRPr="00614EF9">
        <w:rPr>
          <w:rFonts w:ascii="Century Gothic" w:hAnsi="Century Gothic"/>
          <w:sz w:val="24"/>
          <w:szCs w:val="24"/>
          <w:lang w:val="fr-FR"/>
        </w:rPr>
        <w:t xml:space="preserve"> : il leur reste respectivement un et trois allotissements numériques dans la bande 470-614 MHz ;</w:t>
      </w:r>
    </w:p>
    <w:p w14:paraId="7B6AF223" w14:textId="77777777" w:rsidR="00D164A2" w:rsidRPr="00614EF9" w:rsidRDefault="00D164A2">
      <w:pPr>
        <w:pStyle w:val="Paragraphedeliste"/>
        <w:numPr>
          <w:ilvl w:val="1"/>
          <w:numId w:val="3"/>
        </w:numPr>
        <w:spacing w:before="60"/>
        <w:jc w:val="both"/>
        <w:rPr>
          <w:rFonts w:ascii="Century Gothic" w:hAnsi="Century Gothic"/>
          <w:sz w:val="24"/>
          <w:szCs w:val="24"/>
          <w:lang w:val="fr-FR"/>
        </w:rPr>
      </w:pPr>
      <w:r w:rsidRPr="00614EF9">
        <w:rPr>
          <w:rFonts w:ascii="Century Gothic" w:hAnsi="Century Gothic"/>
          <w:sz w:val="24"/>
          <w:szCs w:val="24"/>
          <w:lang w:val="fr-FR"/>
        </w:rPr>
        <w:t>Bouza et Madama appellent une modification du plan GE06 : ils ne disposent plus d’allotissement dans la bande 470-614 MHz ;</w:t>
      </w:r>
    </w:p>
    <w:p w14:paraId="50D82E76" w14:textId="77777777" w:rsidR="00D164A2" w:rsidRPr="00614EF9" w:rsidRDefault="00D164A2">
      <w:pPr>
        <w:pStyle w:val="Paragraphedeliste"/>
        <w:numPr>
          <w:ilvl w:val="1"/>
          <w:numId w:val="3"/>
        </w:numPr>
        <w:spacing w:before="60"/>
        <w:jc w:val="both"/>
        <w:rPr>
          <w:rFonts w:ascii="Century Gothic" w:hAnsi="Century Gothic"/>
          <w:sz w:val="24"/>
          <w:szCs w:val="24"/>
          <w:lang w:val="fr-FR"/>
        </w:rPr>
      </w:pPr>
      <w:proofErr w:type="spellStart"/>
      <w:r w:rsidRPr="00614EF9">
        <w:rPr>
          <w:rFonts w:ascii="Century Gothic" w:hAnsi="Century Gothic"/>
          <w:sz w:val="24"/>
          <w:szCs w:val="24"/>
          <w:lang w:val="fr-FR"/>
        </w:rPr>
        <w:t>Iférouane</w:t>
      </w:r>
      <w:proofErr w:type="spellEnd"/>
      <w:r w:rsidRPr="00614EF9">
        <w:rPr>
          <w:rFonts w:ascii="Century Gothic" w:hAnsi="Century Gothic"/>
          <w:sz w:val="24"/>
          <w:szCs w:val="24"/>
          <w:lang w:val="fr-FR"/>
        </w:rPr>
        <w:t xml:space="preserve"> appelle l’acquisition d’un émetteur numérique, pour exploiter les trois allotissements qui y sont planifiés.</w:t>
      </w:r>
    </w:p>
    <w:p w14:paraId="107B478D" w14:textId="77777777" w:rsidR="008E3BDE" w:rsidRPr="00614EF9" w:rsidRDefault="008E3BDE" w:rsidP="0066730D">
      <w:pPr>
        <w:pStyle w:val="Titre3"/>
        <w:rPr>
          <w:lang w:val="fr-FR"/>
        </w:rPr>
      </w:pPr>
      <w:bookmarkStart w:id="96" w:name="_Toc240614375"/>
      <w:r w:rsidRPr="00614EF9">
        <w:rPr>
          <w:lang w:val="fr-FR"/>
        </w:rPr>
        <w:t>Volet 700 MHz</w:t>
      </w:r>
      <w:bookmarkEnd w:id="96"/>
    </w:p>
    <w:p w14:paraId="6474A82A" w14:textId="77777777" w:rsidR="001216D7" w:rsidRPr="00614EF9" w:rsidRDefault="001216D7">
      <w:pPr>
        <w:spacing w:before="60"/>
        <w:rPr>
          <w:lang w:val="fr-FR"/>
        </w:rPr>
      </w:pPr>
      <w:r w:rsidRPr="00614EF9">
        <w:rPr>
          <w:lang w:val="fr-FR"/>
        </w:rPr>
        <w:t xml:space="preserve">L’occupation de la bande 700 MHz est intégralement analogique : les quatre émetteurs de </w:t>
      </w:r>
      <w:proofErr w:type="spellStart"/>
      <w:r w:rsidRPr="00614EF9">
        <w:rPr>
          <w:lang w:val="fr-FR"/>
        </w:rPr>
        <w:t>Dirkou</w:t>
      </w:r>
      <w:proofErr w:type="spellEnd"/>
      <w:r w:rsidRPr="00614EF9">
        <w:rPr>
          <w:lang w:val="fr-FR"/>
        </w:rPr>
        <w:t xml:space="preserve">, </w:t>
      </w:r>
      <w:proofErr w:type="spellStart"/>
      <w:r w:rsidRPr="00614EF9">
        <w:rPr>
          <w:lang w:val="fr-FR"/>
        </w:rPr>
        <w:t>Matameye</w:t>
      </w:r>
      <w:proofErr w:type="spellEnd"/>
      <w:r w:rsidRPr="00614EF9">
        <w:rPr>
          <w:lang w:val="fr-FR"/>
        </w:rPr>
        <w:t xml:space="preserve">, </w:t>
      </w:r>
      <w:proofErr w:type="spellStart"/>
      <w:r w:rsidRPr="00614EF9">
        <w:rPr>
          <w:lang w:val="fr-FR"/>
        </w:rPr>
        <w:t>Mayahi</w:t>
      </w:r>
      <w:proofErr w:type="spellEnd"/>
      <w:r w:rsidRPr="00614EF9">
        <w:rPr>
          <w:lang w:val="fr-FR"/>
        </w:rPr>
        <w:t xml:space="preserve"> et </w:t>
      </w:r>
      <w:proofErr w:type="spellStart"/>
      <w:r w:rsidRPr="00614EF9">
        <w:rPr>
          <w:lang w:val="fr-FR"/>
        </w:rPr>
        <w:t>Ouallam</w:t>
      </w:r>
      <w:proofErr w:type="spellEnd"/>
      <w:r w:rsidRPr="00614EF9">
        <w:rPr>
          <w:lang w:val="fr-FR"/>
        </w:rPr>
        <w:t xml:space="preserve"> fonctionnent tous en modulation analogique. Ce constat est structurant. L’extinction de la diffusion analogique libère la bande sans migration d’équipements, ce que TDN relève expressément et recommande de retenir.</w:t>
      </w:r>
    </w:p>
    <w:p w14:paraId="6A643915" w14:textId="77777777" w:rsidR="003A2650" w:rsidRPr="00614EF9" w:rsidRDefault="001216D7">
      <w:pPr>
        <w:spacing w:before="60"/>
        <w:rPr>
          <w:lang w:val="fr-FR"/>
        </w:rPr>
      </w:pPr>
      <w:r w:rsidRPr="00614EF9">
        <w:rPr>
          <w:lang w:val="fr-FR"/>
        </w:rPr>
        <w:t xml:space="preserve">La période de transition de l’Accord GE06 en ondes décimétriques s’est achevée le 17 juin 2015. Ces assignations ne bénéficient donc plus de protection internationale et leur extinction n’appelle aucune modification du Plan. La planification GE06 établit toutefois que les quatre localités disposent chacune de deux à trois allotissements numériques dans la bande 470-614 MHz : </w:t>
      </w:r>
      <w:proofErr w:type="spellStart"/>
      <w:r w:rsidRPr="00614EF9">
        <w:rPr>
          <w:lang w:val="fr-FR"/>
        </w:rPr>
        <w:t>Dirkou</w:t>
      </w:r>
      <w:proofErr w:type="spellEnd"/>
      <w:r w:rsidRPr="00614EF9">
        <w:rPr>
          <w:lang w:val="fr-FR"/>
        </w:rPr>
        <w:t xml:space="preserve"> (3), </w:t>
      </w:r>
      <w:proofErr w:type="spellStart"/>
      <w:r w:rsidRPr="00614EF9">
        <w:rPr>
          <w:lang w:val="fr-FR"/>
        </w:rPr>
        <w:t>Matameye</w:t>
      </w:r>
      <w:proofErr w:type="spellEnd"/>
      <w:r w:rsidRPr="00614EF9">
        <w:rPr>
          <w:lang w:val="fr-FR"/>
        </w:rPr>
        <w:t xml:space="preserve"> (2), </w:t>
      </w:r>
      <w:proofErr w:type="spellStart"/>
      <w:r w:rsidRPr="00614EF9">
        <w:rPr>
          <w:lang w:val="fr-FR"/>
        </w:rPr>
        <w:t>Mayahi</w:t>
      </w:r>
      <w:proofErr w:type="spellEnd"/>
      <w:r w:rsidRPr="00614EF9">
        <w:rPr>
          <w:lang w:val="fr-FR"/>
        </w:rPr>
        <w:t xml:space="preserve"> (3) et </w:t>
      </w:r>
      <w:proofErr w:type="spellStart"/>
      <w:r w:rsidRPr="00614EF9">
        <w:rPr>
          <w:lang w:val="fr-FR"/>
        </w:rPr>
        <w:t>Ouallam</w:t>
      </w:r>
      <w:proofErr w:type="spellEnd"/>
      <w:r w:rsidRPr="00614EF9">
        <w:rPr>
          <w:lang w:val="fr-FR"/>
        </w:rPr>
        <w:t xml:space="preserve"> (3). Une extinction sans substitution les priverait de toute réception télévisuelle terrestre.</w:t>
      </w:r>
    </w:p>
    <w:p w14:paraId="21EED510" w14:textId="65E82664" w:rsidR="003A2650" w:rsidRPr="00614EF9" w:rsidRDefault="005F6EB3">
      <w:pPr>
        <w:spacing w:before="60"/>
        <w:rPr>
          <w:lang w:val="fr-FR"/>
        </w:rPr>
      </w:pPr>
      <w:r w:rsidRPr="00614EF9">
        <w:rPr>
          <w:lang w:val="fr-FR"/>
        </w:rPr>
        <w:t>TDN indique que, selon une étude de l’Institut national de la statistique</w:t>
      </w:r>
      <w:r w:rsidR="008D0439" w:rsidRPr="00614EF9">
        <w:rPr>
          <w:lang w:val="fr-FR"/>
        </w:rPr>
        <w:t xml:space="preserve"> (INS</w:t>
      </w:r>
      <w:r w:rsidR="008D0439" w:rsidRPr="00614EF9">
        <w:rPr>
          <w:lang w:val="fr-FR"/>
        </w:rPr>
        <w:fldChar w:fldCharType="begin"/>
      </w:r>
      <w:r w:rsidR="008D0439" w:rsidRPr="00614EF9">
        <w:instrText xml:space="preserve"> XE "</w:instrText>
      </w:r>
      <w:proofErr w:type="gramStart"/>
      <w:r w:rsidR="008D0439" w:rsidRPr="00614EF9">
        <w:rPr>
          <w:lang w:val="fr-FR"/>
        </w:rPr>
        <w:instrText>INS:</w:instrText>
      </w:r>
      <w:r w:rsidR="008D0439" w:rsidRPr="00614EF9">
        <w:instrText>Institut</w:instrText>
      </w:r>
      <w:proofErr w:type="gramEnd"/>
      <w:r w:rsidR="008D0439" w:rsidRPr="00614EF9">
        <w:instrText xml:space="preserve"> national de la statistique" </w:instrText>
      </w:r>
      <w:r w:rsidR="008D0439" w:rsidRPr="00614EF9">
        <w:rPr>
          <w:lang w:val="fr-FR"/>
        </w:rPr>
        <w:fldChar w:fldCharType="end"/>
      </w:r>
      <w:r w:rsidR="008D0439" w:rsidRPr="00614EF9">
        <w:rPr>
          <w:lang w:val="fr-FR"/>
        </w:rPr>
        <w:t>)</w:t>
      </w:r>
      <w:r w:rsidRPr="00614EF9">
        <w:rPr>
          <w:lang w:val="fr-FR"/>
        </w:rPr>
        <w:t xml:space="preserve"> de mars 2026, 67,1 % à 92,5 % des ménages reçoivent la TNT. L’amplitude de cette fourchette traduit vraisemblablement une forte disparité régionale, qu’il conviendra de préciser pour dimensionner les mesures d’accompagnement localité par localité.</w:t>
      </w:r>
    </w:p>
    <w:p w14:paraId="62709902" w14:textId="46AFBB5B" w:rsidR="006B3424" w:rsidRPr="00614EF9" w:rsidRDefault="006B3424">
      <w:pPr>
        <w:spacing w:before="60"/>
        <w:rPr>
          <w:lang w:val="fr-FR"/>
        </w:rPr>
      </w:pPr>
      <w:r w:rsidRPr="00614EF9">
        <w:rPr>
          <w:lang w:val="fr-FR"/>
        </w:rPr>
        <w:t xml:space="preserve">Ce taux doit être lu différemment selon les bandes : ses effets y sont de sens contraire. Le </w:t>
      </w:r>
      <w:r w:rsidRPr="00614EF9">
        <w:rPr>
          <w:lang w:val="fr-FR"/>
        </w:rPr>
        <w:fldChar w:fldCharType="begin"/>
      </w:r>
      <w:r w:rsidRPr="00614EF9">
        <w:rPr>
          <w:lang w:val="fr-FR"/>
        </w:rPr>
        <w:instrText xml:space="preserve"> REF _Ref240369675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10</w:t>
      </w:r>
      <w:r w:rsidRPr="00614EF9">
        <w:rPr>
          <w:lang w:val="fr-FR"/>
        </w:rPr>
        <w:fldChar w:fldCharType="end"/>
      </w:r>
      <w:r w:rsidR="005D1CFF" w:rsidRPr="00614EF9">
        <w:rPr>
          <w:lang w:val="fr-FR"/>
        </w:rPr>
        <w:t xml:space="preserve"> ci-dessous les décrit.</w:t>
      </w:r>
    </w:p>
    <w:tbl>
      <w:tblPr>
        <w:tblStyle w:val="TableauGrille4-Accentuation3"/>
        <w:tblW w:w="9638" w:type="dxa"/>
        <w:jc w:val="center"/>
        <w:tblLayout w:type="fixed"/>
        <w:tblLook w:val="04A0" w:firstRow="1" w:lastRow="0" w:firstColumn="1" w:lastColumn="0" w:noHBand="0" w:noVBand="1"/>
      </w:tblPr>
      <w:tblGrid>
        <w:gridCol w:w="2666"/>
        <w:gridCol w:w="3049"/>
        <w:gridCol w:w="3923"/>
      </w:tblGrid>
      <w:tr w:rsidR="00AD6608" w:rsidRPr="00614EF9" w14:paraId="3B34D867" w14:textId="77777777" w:rsidTr="005F6EB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666" w:type="dxa"/>
            <w:tcMar>
              <w:top w:w="40" w:type="dxa"/>
              <w:bottom w:w="40" w:type="dxa"/>
            </w:tcMar>
          </w:tcPr>
          <w:p w14:paraId="14AAC589" w14:textId="77777777" w:rsidR="00AD6608" w:rsidRPr="00614EF9" w:rsidRDefault="009514E2">
            <w:pPr>
              <w:spacing w:before="20" w:after="20"/>
              <w:rPr>
                <w:lang w:val="fr-FR"/>
              </w:rPr>
            </w:pPr>
            <w:r w:rsidRPr="00614EF9">
              <w:rPr>
                <w:color w:val="FFFFFF"/>
                <w:sz w:val="18"/>
                <w:szCs w:val="18"/>
                <w:lang w:val="fr-FR"/>
              </w:rPr>
              <w:t>Volet</w:t>
            </w:r>
          </w:p>
        </w:tc>
        <w:tc>
          <w:tcPr>
            <w:tcW w:w="3049" w:type="dxa"/>
            <w:tcMar>
              <w:top w:w="40" w:type="dxa"/>
              <w:bottom w:w="40" w:type="dxa"/>
            </w:tcMar>
          </w:tcPr>
          <w:p w14:paraId="7668CA25" w14:textId="77777777" w:rsidR="00AD6608"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Portée du constat</w:t>
            </w:r>
          </w:p>
        </w:tc>
        <w:tc>
          <w:tcPr>
            <w:tcW w:w="3923" w:type="dxa"/>
            <w:tcMar>
              <w:top w:w="40" w:type="dxa"/>
              <w:bottom w:w="40" w:type="dxa"/>
            </w:tcMar>
          </w:tcPr>
          <w:p w14:paraId="2D1FE22E" w14:textId="77777777" w:rsidR="00AD6608"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Conséquence pour le plan</w:t>
            </w:r>
          </w:p>
        </w:tc>
      </w:tr>
      <w:tr w:rsidR="005F6EB3" w:rsidRPr="00614EF9" w14:paraId="3C7B05F2" w14:textId="77777777" w:rsidTr="005F6E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66" w:type="dxa"/>
            <w:tcMar>
              <w:top w:w="40" w:type="dxa"/>
              <w:bottom w:w="40" w:type="dxa"/>
            </w:tcMar>
          </w:tcPr>
          <w:p w14:paraId="755EAB26" w14:textId="77777777" w:rsidR="005F6EB3" w:rsidRPr="00614EF9" w:rsidRDefault="005F6EB3" w:rsidP="005F6EB3">
            <w:pPr>
              <w:spacing w:before="20" w:after="20"/>
              <w:rPr>
                <w:sz w:val="18"/>
                <w:szCs w:val="18"/>
                <w:lang w:val="fr-FR"/>
              </w:rPr>
            </w:pPr>
            <w:r w:rsidRPr="00614EF9">
              <w:rPr>
                <w:sz w:val="18"/>
                <w:szCs w:val="18"/>
                <w:lang w:val="fr-FR"/>
              </w:rPr>
              <w:t>600 MHz</w:t>
            </w:r>
          </w:p>
        </w:tc>
        <w:tc>
          <w:tcPr>
            <w:tcW w:w="3049" w:type="dxa"/>
            <w:tcMar>
              <w:top w:w="40" w:type="dxa"/>
              <w:bottom w:w="40" w:type="dxa"/>
            </w:tcMar>
          </w:tcPr>
          <w:p w14:paraId="4BD8D8CD" w14:textId="77777777" w:rsidR="005F6EB3" w:rsidRPr="00614EF9" w:rsidRDefault="005F6EB3" w:rsidP="005F6EB3">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La TNT est un service de large audience et non un service résiduel</w:t>
            </w:r>
          </w:p>
        </w:tc>
        <w:tc>
          <w:tcPr>
            <w:tcW w:w="3923" w:type="dxa"/>
            <w:tcMar>
              <w:top w:w="40" w:type="dxa"/>
              <w:bottom w:w="40" w:type="dxa"/>
            </w:tcMar>
          </w:tcPr>
          <w:p w14:paraId="5901FE06" w14:textId="77777777" w:rsidR="005F6EB3" w:rsidRPr="00614EF9" w:rsidRDefault="005F6EB3" w:rsidP="005F6EB3">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La prémisse d'une offre terrestre marginale, avancée à l'appui du projet de réaffectation, n'est pas vérifiée ; le report du volet en est renforcé</w:t>
            </w:r>
          </w:p>
        </w:tc>
      </w:tr>
      <w:tr w:rsidR="005F6EB3" w:rsidRPr="00614EF9" w14:paraId="34AF6469" w14:textId="77777777" w:rsidTr="005F6EB3">
        <w:trPr>
          <w:jc w:val="center"/>
        </w:trPr>
        <w:tc>
          <w:tcPr>
            <w:cnfStyle w:val="001000000000" w:firstRow="0" w:lastRow="0" w:firstColumn="1" w:lastColumn="0" w:oddVBand="0" w:evenVBand="0" w:oddHBand="0" w:evenHBand="0" w:firstRowFirstColumn="0" w:firstRowLastColumn="0" w:lastRowFirstColumn="0" w:lastRowLastColumn="0"/>
            <w:tcW w:w="2666" w:type="dxa"/>
            <w:tcMar>
              <w:top w:w="40" w:type="dxa"/>
              <w:bottom w:w="40" w:type="dxa"/>
            </w:tcMar>
          </w:tcPr>
          <w:p w14:paraId="569FDF9E" w14:textId="77777777" w:rsidR="005F6EB3" w:rsidRPr="00614EF9" w:rsidRDefault="005F6EB3" w:rsidP="005F6EB3">
            <w:pPr>
              <w:spacing w:before="20" w:after="20"/>
              <w:rPr>
                <w:lang w:val="fr-FR"/>
              </w:rPr>
            </w:pPr>
            <w:r w:rsidRPr="00614EF9">
              <w:rPr>
                <w:sz w:val="18"/>
                <w:szCs w:val="18"/>
                <w:lang w:val="fr-FR"/>
              </w:rPr>
              <w:t>700 MHz</w:t>
            </w:r>
          </w:p>
        </w:tc>
        <w:tc>
          <w:tcPr>
            <w:tcW w:w="3049" w:type="dxa"/>
            <w:tcMar>
              <w:top w:w="40" w:type="dxa"/>
              <w:bottom w:w="40" w:type="dxa"/>
            </w:tcMar>
          </w:tcPr>
          <w:p w14:paraId="4E528DE9" w14:textId="77777777" w:rsidR="005F6EB3" w:rsidRPr="00614EF9" w:rsidRDefault="005F6EB3" w:rsidP="005F6EB3">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Une pénétration élevée de la TNT signifie que la population dépendant exclusivement de la diffusion analogique est réduite</w:t>
            </w:r>
          </w:p>
        </w:tc>
        <w:tc>
          <w:tcPr>
            <w:tcW w:w="3923" w:type="dxa"/>
            <w:tcMar>
              <w:top w:w="40" w:type="dxa"/>
              <w:bottom w:w="40" w:type="dxa"/>
            </w:tcMar>
          </w:tcPr>
          <w:p w14:paraId="501AF17F" w14:textId="77777777" w:rsidR="005F6EB3" w:rsidRPr="00614EF9" w:rsidRDefault="005F6EB3" w:rsidP="005F6EB3">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Le scénario d'extinction de la diffusion analogique, préconisé par TDN, s'en trouve conforté ; les mesures de continuité restent nécessaires mais leur ampleur est moindre.</w:t>
            </w:r>
          </w:p>
        </w:tc>
      </w:tr>
    </w:tbl>
    <w:p w14:paraId="47ABF0BA" w14:textId="77777777" w:rsidR="006B3424" w:rsidRPr="00614EF9" w:rsidRDefault="006B3424" w:rsidP="006B3424">
      <w:pPr>
        <w:pStyle w:val="Lgende"/>
        <w:spacing w:before="120" w:after="120"/>
        <w:rPr>
          <w:color w:val="000000" w:themeColor="text1"/>
          <w:lang w:val="fr-FR"/>
        </w:rPr>
      </w:pPr>
      <w:bookmarkStart w:id="97" w:name="_Ref240369675"/>
      <w:bookmarkStart w:id="98" w:name="_Toc240614524"/>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10</w:t>
      </w:r>
      <w:r w:rsidRPr="00614EF9">
        <w:rPr>
          <w:color w:val="000000" w:themeColor="text1"/>
          <w:lang w:val="fr-FR"/>
        </w:rPr>
        <w:fldChar w:fldCharType="end"/>
      </w:r>
      <w:r w:rsidRPr="00614EF9">
        <w:rPr>
          <w:color w:val="000000" w:themeColor="text1"/>
          <w:lang w:val="fr-FR"/>
        </w:rPr>
        <w:t>: Impact du taux d’audience de la TNT sur les bandes 600 MHz et 700 MHz</w:t>
      </w:r>
      <w:bookmarkEnd w:id="97"/>
      <w:bookmarkEnd w:id="98"/>
    </w:p>
    <w:p w14:paraId="2A3EEE95" w14:textId="77777777" w:rsidR="003A2650" w:rsidRPr="00614EF9" w:rsidRDefault="00061318">
      <w:pPr>
        <w:spacing w:before="60"/>
        <w:rPr>
          <w:lang w:val="fr-FR"/>
        </w:rPr>
      </w:pPr>
      <w:r w:rsidRPr="00614EF9">
        <w:rPr>
          <w:lang w:val="fr-FR"/>
        </w:rPr>
        <w:t>Enfin, les produits d’intermodulation issus de la radiodiffusion sonore en bande FM affectent la liaison montante du service mobile, selon le mécanisme décrit à l’annexe technique du document de consultation. L’absence de filtrage sur ces émetteurs appelle un traitement prioritaire.</w:t>
      </w:r>
    </w:p>
    <w:p w14:paraId="4B5389E4" w14:textId="77777777" w:rsidR="00AB602B" w:rsidRPr="00614EF9" w:rsidRDefault="00AB602B" w:rsidP="0066730D">
      <w:pPr>
        <w:pStyle w:val="Titre3"/>
        <w:rPr>
          <w:lang w:val="fr-FR"/>
        </w:rPr>
      </w:pPr>
      <w:bookmarkStart w:id="99" w:name="_Toc240614376"/>
      <w:r w:rsidRPr="00614EF9">
        <w:rPr>
          <w:lang w:val="fr-FR"/>
        </w:rPr>
        <w:t>Volet 2,4 GHz &amp; 5 GHz</w:t>
      </w:r>
      <w:bookmarkEnd w:id="99"/>
    </w:p>
    <w:p w14:paraId="5EDDDFC5" w14:textId="77777777" w:rsidR="00B65AD3" w:rsidRPr="00614EF9" w:rsidRDefault="00B65AD3" w:rsidP="008E3BDE">
      <w:pPr>
        <w:spacing w:before="60"/>
        <w:rPr>
          <w:lang w:val="fr-FR"/>
        </w:rPr>
      </w:pPr>
      <w:r w:rsidRPr="00614EF9">
        <w:rPr>
          <w:lang w:val="fr-FR"/>
        </w:rPr>
        <w:lastRenderedPageBreak/>
        <w:t>Les FAI ayant contribué opèrent dans la bande 5 GHz avec un ensemble de 159 secteurs recensés.</w:t>
      </w:r>
    </w:p>
    <w:p w14:paraId="00DE70A5" w14:textId="77777777" w:rsidR="008E3BDE" w:rsidRPr="00614EF9" w:rsidRDefault="008E3BDE" w:rsidP="008E3BDE">
      <w:pPr>
        <w:spacing w:before="60"/>
        <w:rPr>
          <w:lang w:val="fr-FR"/>
        </w:rPr>
      </w:pPr>
      <w:r w:rsidRPr="00614EF9">
        <w:rPr>
          <w:lang w:val="fr-FR"/>
        </w:rPr>
        <w:t>La réservation de la bande 2,4 GHz aux réseaux privés est donc sans incidence sur les exploitants recensés, l'enjeu porte exclusivement sur la bande 5 GHz.</w:t>
      </w:r>
    </w:p>
    <w:p w14:paraId="709428E1" w14:textId="77777777" w:rsidR="008E3BDE" w:rsidRPr="00614EF9" w:rsidRDefault="00AB602B" w:rsidP="0066730D">
      <w:pPr>
        <w:pStyle w:val="Titre3"/>
        <w:rPr>
          <w:lang w:val="fr-FR"/>
        </w:rPr>
      </w:pPr>
      <w:bookmarkStart w:id="100" w:name="_Toc240614377"/>
      <w:r w:rsidRPr="00614EF9">
        <w:rPr>
          <w:lang w:val="fr-FR"/>
        </w:rPr>
        <w:t>Volet bande C</w:t>
      </w:r>
      <w:bookmarkEnd w:id="100"/>
    </w:p>
    <w:p w14:paraId="7EF12FC1" w14:textId="77777777" w:rsidR="009735FB" w:rsidRPr="00614EF9" w:rsidRDefault="009735FB" w:rsidP="009735FB">
      <w:pPr>
        <w:spacing w:before="60"/>
        <w:rPr>
          <w:lang w:val="fr-FR"/>
        </w:rPr>
      </w:pPr>
      <w:r w:rsidRPr="00614EF9">
        <w:rPr>
          <w:lang w:val="fr-FR"/>
        </w:rPr>
        <w:t xml:space="preserve">L’analyse de la bande C fait apparaître deux difficultés : une contrainte de coexistence et un conflit </w:t>
      </w:r>
      <w:proofErr w:type="spellStart"/>
      <w:r w:rsidRPr="00614EF9">
        <w:rPr>
          <w:lang w:val="fr-FR"/>
        </w:rPr>
        <w:t>co</w:t>
      </w:r>
      <w:proofErr w:type="spellEnd"/>
      <w:r w:rsidRPr="00614EF9">
        <w:rPr>
          <w:lang w:val="fr-FR"/>
        </w:rPr>
        <w:t>-canal.</w:t>
      </w:r>
    </w:p>
    <w:p w14:paraId="05C1F9A0" w14:textId="77777777" w:rsidR="003A2650" w:rsidRPr="00614EF9" w:rsidRDefault="00490F85">
      <w:pPr>
        <w:spacing w:before="60"/>
        <w:rPr>
          <w:lang w:val="fr-FR"/>
        </w:rPr>
      </w:pPr>
      <w:r w:rsidRPr="00614EF9">
        <w:rPr>
          <w:lang w:val="fr-FR"/>
        </w:rPr>
        <w:t>Le brouillage constaté à Zinder sur la fréquence 3 963 MHz a conduit TDN à remplacer le convertisseur à faible bruit de sa station terrienne en adoptant un oscillateur local de 5 250 MHz en remplacement du 5 150 MHz. Ce cas illustre les contraintes de coexistence à traiter en bande C.</w:t>
      </w:r>
    </w:p>
    <w:p w14:paraId="7D9221FF" w14:textId="39597859" w:rsidR="00001329" w:rsidRPr="00614EF9" w:rsidRDefault="0080157F">
      <w:pPr>
        <w:spacing w:before="60"/>
        <w:rPr>
          <w:lang w:val="fr-FR"/>
        </w:rPr>
      </w:pPr>
      <w:r w:rsidRPr="00614EF9">
        <w:rPr>
          <w:lang w:val="fr-FR"/>
        </w:rPr>
        <w:t xml:space="preserve">Les dix-neuf stations terriennes de </w:t>
      </w:r>
      <w:r w:rsidR="00961FE4" w:rsidRPr="00614EF9">
        <w:rPr>
          <w:lang w:val="fr-FR"/>
        </w:rPr>
        <w:t xml:space="preserve">CELTEL NIGER </w:t>
      </w:r>
      <w:r w:rsidRPr="00614EF9">
        <w:rPr>
          <w:lang w:val="fr-FR"/>
        </w:rPr>
        <w:t xml:space="preserve">reçoivent entre 3 758,5 et 3 784,7 MHz, c'est-à-dire intégralement à l'intérieur de la bande 3 400–3 800 MHz. Il ne s'agit ni d'une coexistence en bande adjacente ni d'un recouvrement partiel, mais d'un conflit </w:t>
      </w:r>
      <w:proofErr w:type="spellStart"/>
      <w:r w:rsidRPr="00614EF9">
        <w:rPr>
          <w:lang w:val="fr-FR"/>
        </w:rPr>
        <w:t>co</w:t>
      </w:r>
      <w:proofErr w:type="spellEnd"/>
      <w:r w:rsidRPr="00614EF9">
        <w:rPr>
          <w:lang w:val="fr-FR"/>
        </w:rPr>
        <w:t xml:space="preserve">-canal direct, que le filtrage ne peut traiter. </w:t>
      </w:r>
      <w:r w:rsidR="00961FE4" w:rsidRPr="00614EF9">
        <w:rPr>
          <w:lang w:val="fr-FR"/>
        </w:rPr>
        <w:t xml:space="preserve">MOOV AFRICA NIGER </w:t>
      </w:r>
      <w:r w:rsidRPr="00614EF9">
        <w:rPr>
          <w:lang w:val="fr-FR"/>
        </w:rPr>
        <w:t>qualifie de son côté sa propre situation de recouvrement spectral effectif et non de coexistence adjacente.</w:t>
      </w:r>
    </w:p>
    <w:p w14:paraId="6A2F40A6" w14:textId="77777777" w:rsidR="0080157F" w:rsidRPr="00614EF9" w:rsidRDefault="0080157F">
      <w:pPr>
        <w:spacing w:before="60"/>
        <w:rPr>
          <w:lang w:val="fr-FR"/>
        </w:rPr>
      </w:pPr>
      <w:r w:rsidRPr="00614EF9">
        <w:rPr>
          <w:lang w:val="fr-FR"/>
        </w:rPr>
        <w:t xml:space="preserve">Ces constats conduisent à envisager la libération d’une partie de la bande 3 400-3 800 MHz plutôt que de son intégralité. La portion 3 400-3 600 MHz est la candidate naturelle : elle résout le conflit </w:t>
      </w:r>
      <w:proofErr w:type="spellStart"/>
      <w:r w:rsidRPr="00614EF9">
        <w:rPr>
          <w:lang w:val="fr-FR"/>
        </w:rPr>
        <w:t>co</w:t>
      </w:r>
      <w:proofErr w:type="spellEnd"/>
      <w:r w:rsidRPr="00614EF9">
        <w:rPr>
          <w:lang w:val="fr-FR"/>
        </w:rPr>
        <w:t>-canal et n’est occupée que par un parc résiduel d’accès hertzien fixe.</w:t>
      </w:r>
    </w:p>
    <w:p w14:paraId="31D01AAA" w14:textId="77777777" w:rsidR="007C757E" w:rsidRPr="00614EF9" w:rsidRDefault="009514E2" w:rsidP="007D4BE4">
      <w:pPr>
        <w:pStyle w:val="Titre2"/>
        <w:rPr>
          <w:lang w:val="fr-FR"/>
        </w:rPr>
      </w:pPr>
      <w:bookmarkStart w:id="101" w:name="_Toc232062293"/>
      <w:bookmarkStart w:id="102" w:name="_Toc236636370"/>
      <w:bookmarkStart w:id="103" w:name="_Toc240614378"/>
      <w:r w:rsidRPr="00614EF9">
        <w:rPr>
          <w:lang w:val="fr-FR"/>
        </w:rPr>
        <w:t>Évaluation de l’impact de la libération</w:t>
      </w:r>
      <w:bookmarkEnd w:id="101"/>
      <w:bookmarkEnd w:id="102"/>
      <w:bookmarkEnd w:id="103"/>
    </w:p>
    <w:p w14:paraId="179BB6FD" w14:textId="77777777" w:rsidR="003A2650" w:rsidRPr="00614EF9" w:rsidRDefault="009514E2">
      <w:pPr>
        <w:spacing w:before="60"/>
        <w:rPr>
          <w:lang w:val="fr-FR"/>
        </w:rPr>
      </w:pPr>
      <w:r w:rsidRPr="00614EF9">
        <w:rPr>
          <w:lang w:val="fr-FR"/>
        </w:rPr>
        <w:t>L'impact de la libération est apprécié, pour chaque volet, au regard du nombre d'assignataires touchés, de la complexité technique des opérations et de la continuité du service rendu aux usagers.</w:t>
      </w:r>
    </w:p>
    <w:p w14:paraId="4BC7C979" w14:textId="5042F410" w:rsidR="00923C2A" w:rsidRPr="00614EF9" w:rsidRDefault="00923C2A">
      <w:pPr>
        <w:spacing w:before="60"/>
        <w:rPr>
          <w:lang w:val="fr-FR"/>
        </w:rPr>
      </w:pPr>
      <w:r w:rsidRPr="00614EF9">
        <w:rPr>
          <w:lang w:val="fr-FR"/>
        </w:rPr>
        <w:t xml:space="preserve">Le </w:t>
      </w:r>
      <w:r w:rsidRPr="00614EF9">
        <w:rPr>
          <w:lang w:val="fr-FR"/>
        </w:rPr>
        <w:fldChar w:fldCharType="begin"/>
      </w:r>
      <w:r w:rsidRPr="00614EF9">
        <w:rPr>
          <w:lang w:val="fr-FR"/>
        </w:rPr>
        <w:instrText xml:space="preserve"> REF _Ref240440045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11</w:t>
      </w:r>
      <w:r w:rsidRPr="00614EF9">
        <w:rPr>
          <w:lang w:val="fr-FR"/>
        </w:rPr>
        <w:fldChar w:fldCharType="end"/>
      </w:r>
      <w:r w:rsidR="00D06DA1" w:rsidRPr="00614EF9">
        <w:rPr>
          <w:lang w:val="fr-FR"/>
        </w:rPr>
        <w:t xml:space="preserve"> ci-dessous présente cette évaluation.</w:t>
      </w:r>
    </w:p>
    <w:tbl>
      <w:tblPr>
        <w:tblStyle w:val="TableauGrille4-Accentuation3"/>
        <w:tblW w:w="9638" w:type="dxa"/>
        <w:jc w:val="center"/>
        <w:tblLayout w:type="fixed"/>
        <w:tblLook w:val="04A0" w:firstRow="1" w:lastRow="0" w:firstColumn="1" w:lastColumn="0" w:noHBand="0" w:noVBand="1"/>
      </w:tblPr>
      <w:tblGrid>
        <w:gridCol w:w="1400"/>
        <w:gridCol w:w="3300"/>
        <w:gridCol w:w="2900"/>
        <w:gridCol w:w="2038"/>
      </w:tblGrid>
      <w:tr w:rsidR="003A2650" w:rsidRPr="00614EF9" w14:paraId="5E444611"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00" w:type="dxa"/>
            <w:tcMar>
              <w:top w:w="40" w:type="dxa"/>
              <w:bottom w:w="40" w:type="dxa"/>
            </w:tcMar>
          </w:tcPr>
          <w:p w14:paraId="4A88FE53" w14:textId="77777777" w:rsidR="003A2650" w:rsidRPr="00614EF9" w:rsidRDefault="009514E2">
            <w:pPr>
              <w:spacing w:before="20" w:after="20"/>
              <w:rPr>
                <w:lang w:val="fr-FR"/>
              </w:rPr>
            </w:pPr>
            <w:r w:rsidRPr="00614EF9">
              <w:rPr>
                <w:color w:val="FFFFFF"/>
                <w:sz w:val="18"/>
                <w:szCs w:val="18"/>
                <w:lang w:val="fr-FR"/>
              </w:rPr>
              <w:t>Volet</w:t>
            </w:r>
          </w:p>
        </w:tc>
        <w:tc>
          <w:tcPr>
            <w:tcW w:w="3300" w:type="dxa"/>
            <w:tcMar>
              <w:top w:w="40" w:type="dxa"/>
              <w:bottom w:w="40" w:type="dxa"/>
            </w:tcMar>
          </w:tcPr>
          <w:p w14:paraId="0491880E"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Impact technique</w:t>
            </w:r>
          </w:p>
        </w:tc>
        <w:tc>
          <w:tcPr>
            <w:tcW w:w="2900" w:type="dxa"/>
            <w:tcMar>
              <w:top w:w="40" w:type="dxa"/>
              <w:bottom w:w="40" w:type="dxa"/>
            </w:tcMar>
          </w:tcPr>
          <w:p w14:paraId="5E1D22A7"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Impact sur les usagers</w:t>
            </w:r>
          </w:p>
        </w:tc>
        <w:tc>
          <w:tcPr>
            <w:tcW w:w="2038" w:type="dxa"/>
            <w:tcMar>
              <w:top w:w="40" w:type="dxa"/>
              <w:bottom w:w="40" w:type="dxa"/>
            </w:tcMar>
          </w:tcPr>
          <w:p w14:paraId="1EC748E5"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Appréciation</w:t>
            </w:r>
          </w:p>
        </w:tc>
      </w:tr>
      <w:tr w:rsidR="003A2650" w:rsidRPr="00614EF9" w14:paraId="59EB7C9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0" w:type="dxa"/>
            <w:tcMar>
              <w:top w:w="40" w:type="dxa"/>
              <w:bottom w:w="40" w:type="dxa"/>
            </w:tcMar>
          </w:tcPr>
          <w:p w14:paraId="7C40E1F3" w14:textId="77777777" w:rsidR="003A2650" w:rsidRPr="00614EF9" w:rsidRDefault="009514E2">
            <w:pPr>
              <w:spacing w:before="20" w:after="20"/>
              <w:rPr>
                <w:lang w:val="fr-FR"/>
              </w:rPr>
            </w:pPr>
            <w:r w:rsidRPr="00614EF9">
              <w:rPr>
                <w:sz w:val="18"/>
                <w:szCs w:val="18"/>
                <w:lang w:val="fr-FR"/>
              </w:rPr>
              <w:t>600 MHz</w:t>
            </w:r>
          </w:p>
        </w:tc>
        <w:tc>
          <w:tcPr>
            <w:tcW w:w="3300" w:type="dxa"/>
            <w:tcMar>
              <w:top w:w="40" w:type="dxa"/>
              <w:bottom w:w="40" w:type="dxa"/>
            </w:tcMar>
          </w:tcPr>
          <w:p w14:paraId="60291712" w14:textId="5DB48065" w:rsidR="003A2650" w:rsidRPr="00614EF9" w:rsidRDefault="005F364B">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Replanification de deux émetteurs dans la portion 470–614 MHz ; modification du plan GE06 et coordination frontalière ; remplacement partiel des équipements et ajout de combineurs pour la double diffusion.</w:t>
            </w:r>
          </w:p>
        </w:tc>
        <w:tc>
          <w:tcPr>
            <w:tcW w:w="2900" w:type="dxa"/>
            <w:tcMar>
              <w:top w:w="40" w:type="dxa"/>
              <w:bottom w:w="40" w:type="dxa"/>
            </w:tcMar>
          </w:tcPr>
          <w:p w14:paraId="2366E7AE"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proofErr w:type="spellStart"/>
            <w:r w:rsidRPr="00614EF9">
              <w:rPr>
                <w:sz w:val="18"/>
                <w:szCs w:val="18"/>
                <w:lang w:val="fr-FR"/>
              </w:rPr>
              <w:t>Réaccord</w:t>
            </w:r>
            <w:proofErr w:type="spellEnd"/>
            <w:r w:rsidRPr="00614EF9">
              <w:rPr>
                <w:sz w:val="18"/>
                <w:szCs w:val="18"/>
                <w:lang w:val="fr-FR"/>
              </w:rPr>
              <w:t xml:space="preserve"> des récepteurs ; continuité assurée par une double diffusion évaluée à une durée de [</w:t>
            </w:r>
            <w:r w:rsidRPr="00614EF9">
              <w:rPr>
                <w:color w:val="EE0000"/>
                <w:sz w:val="18"/>
                <w:szCs w:val="18"/>
                <w:lang w:val="fr-FR"/>
              </w:rPr>
              <w:t>un à trois</w:t>
            </w:r>
            <w:r w:rsidRPr="00614EF9">
              <w:rPr>
                <w:sz w:val="18"/>
                <w:szCs w:val="18"/>
                <w:lang w:val="fr-FR"/>
              </w:rPr>
              <w:t>] mois.</w:t>
            </w:r>
          </w:p>
        </w:tc>
        <w:tc>
          <w:tcPr>
            <w:tcW w:w="2038" w:type="dxa"/>
            <w:tcMar>
              <w:top w:w="40" w:type="dxa"/>
              <w:bottom w:w="40" w:type="dxa"/>
            </w:tcMar>
          </w:tcPr>
          <w:p w14:paraId="3DD2C565"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w:t>
            </w:r>
          </w:p>
        </w:tc>
      </w:tr>
      <w:tr w:rsidR="003A2650" w:rsidRPr="00614EF9" w14:paraId="6886CB0E"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1400" w:type="dxa"/>
            <w:tcMar>
              <w:top w:w="40" w:type="dxa"/>
              <w:bottom w:w="40" w:type="dxa"/>
            </w:tcMar>
          </w:tcPr>
          <w:p w14:paraId="3A17C94E" w14:textId="77777777" w:rsidR="003A2650" w:rsidRPr="00614EF9" w:rsidRDefault="009514E2">
            <w:pPr>
              <w:spacing w:before="20" w:after="20"/>
              <w:rPr>
                <w:lang w:val="fr-FR"/>
              </w:rPr>
            </w:pPr>
            <w:r w:rsidRPr="00614EF9">
              <w:rPr>
                <w:sz w:val="18"/>
                <w:szCs w:val="18"/>
                <w:lang w:val="fr-FR"/>
              </w:rPr>
              <w:t>700 MHz</w:t>
            </w:r>
          </w:p>
        </w:tc>
        <w:tc>
          <w:tcPr>
            <w:tcW w:w="3300" w:type="dxa"/>
            <w:tcMar>
              <w:top w:w="40" w:type="dxa"/>
              <w:bottom w:w="40" w:type="dxa"/>
            </w:tcMar>
          </w:tcPr>
          <w:p w14:paraId="3D92995E" w14:textId="77777777" w:rsidR="003A2650" w:rsidRPr="00614EF9" w:rsidRDefault="009970FD">
            <w:pPr>
              <w:spacing w:before="20" w:after="20"/>
              <w:cnfStyle w:val="000000000000" w:firstRow="0" w:lastRow="0" w:firstColumn="0" w:lastColumn="0" w:oddVBand="0" w:evenVBand="0" w:oddHBand="0" w:evenHBand="0" w:firstRowFirstColumn="0" w:firstRowLastColumn="0" w:lastRowFirstColumn="0" w:lastRowLastColumn="0"/>
              <w:rPr>
                <w:lang w:val="fr-FR"/>
              </w:rPr>
            </w:pPr>
            <w:proofErr w:type="gramStart"/>
            <w:r w:rsidRPr="00614EF9">
              <w:rPr>
                <w:sz w:val="18"/>
                <w:szCs w:val="18"/>
                <w:lang w:val="fr-FR"/>
              </w:rPr>
              <w:t>quatre</w:t>
            </w:r>
            <w:proofErr w:type="gramEnd"/>
            <w:r w:rsidRPr="00614EF9">
              <w:rPr>
                <w:sz w:val="18"/>
                <w:szCs w:val="18"/>
                <w:lang w:val="fr-FR"/>
              </w:rPr>
              <w:t xml:space="preserve"> émetteurs analogiques concernés. L'extinction de la diffusion analogique libère la bande sans migration d'équipements.</w:t>
            </w:r>
          </w:p>
        </w:tc>
        <w:tc>
          <w:tcPr>
            <w:tcW w:w="2900" w:type="dxa"/>
            <w:tcMar>
              <w:top w:w="40" w:type="dxa"/>
              <w:bottom w:w="40" w:type="dxa"/>
            </w:tcMar>
          </w:tcPr>
          <w:p w14:paraId="3C12716F"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Perte de réception pour les foyers encore équipés en analogique seul ; population concernée non évaluée à ce jour.</w:t>
            </w:r>
          </w:p>
        </w:tc>
        <w:tc>
          <w:tcPr>
            <w:tcW w:w="2038" w:type="dxa"/>
            <w:tcMar>
              <w:top w:w="40" w:type="dxa"/>
              <w:bottom w:w="40" w:type="dxa"/>
            </w:tcMar>
          </w:tcPr>
          <w:p w14:paraId="2A967156"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Modéré à </w:t>
            </w:r>
            <w:proofErr w:type="spellStart"/>
            <w:r w:rsidRPr="00614EF9">
              <w:rPr>
                <w:sz w:val="18"/>
                <w:szCs w:val="18"/>
                <w:lang w:val="fr-FR"/>
              </w:rPr>
              <w:t>élevé</w:t>
            </w:r>
            <w:proofErr w:type="spellEnd"/>
            <w:r w:rsidRPr="00614EF9">
              <w:rPr>
                <w:sz w:val="18"/>
                <w:szCs w:val="18"/>
                <w:lang w:val="fr-FR"/>
              </w:rPr>
              <w:t xml:space="preserve"> selon le parc analogique résiduel</w:t>
            </w:r>
          </w:p>
        </w:tc>
      </w:tr>
      <w:tr w:rsidR="00AB602B" w:rsidRPr="00614EF9" w14:paraId="7B03DC3A"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0" w:type="dxa"/>
            <w:tcMar>
              <w:top w:w="40" w:type="dxa"/>
              <w:bottom w:w="40" w:type="dxa"/>
            </w:tcMar>
          </w:tcPr>
          <w:p w14:paraId="1628B79F" w14:textId="77777777" w:rsidR="00AB602B" w:rsidRPr="00614EF9" w:rsidRDefault="00AB602B" w:rsidP="00AB602B">
            <w:pPr>
              <w:spacing w:before="20" w:after="20"/>
              <w:rPr>
                <w:sz w:val="18"/>
                <w:szCs w:val="18"/>
                <w:lang w:val="fr-FR"/>
              </w:rPr>
            </w:pPr>
            <w:r w:rsidRPr="00614EF9">
              <w:rPr>
                <w:sz w:val="18"/>
                <w:szCs w:val="18"/>
                <w:lang w:val="fr-FR"/>
              </w:rPr>
              <w:t>FWA (2,4 / 5 GHz)</w:t>
            </w:r>
          </w:p>
        </w:tc>
        <w:tc>
          <w:tcPr>
            <w:tcW w:w="3300" w:type="dxa"/>
            <w:tcMar>
              <w:top w:w="40" w:type="dxa"/>
              <w:bottom w:w="40" w:type="dxa"/>
            </w:tcMar>
          </w:tcPr>
          <w:p w14:paraId="331918F1" w14:textId="77777777" w:rsidR="00AB602B" w:rsidRPr="00614EF9" w:rsidRDefault="00AB602B" w:rsidP="00AB602B">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Non évalué en l'absence de contribution des exploitants.</w:t>
            </w:r>
          </w:p>
        </w:tc>
        <w:tc>
          <w:tcPr>
            <w:tcW w:w="2900" w:type="dxa"/>
            <w:tcMar>
              <w:top w:w="40" w:type="dxa"/>
              <w:bottom w:w="40" w:type="dxa"/>
            </w:tcMar>
          </w:tcPr>
          <w:p w14:paraId="64DEA8A5" w14:textId="77777777" w:rsidR="00AB602B" w:rsidRPr="00614EF9" w:rsidRDefault="00AB602B" w:rsidP="00AB602B">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Non évalué.</w:t>
            </w:r>
          </w:p>
        </w:tc>
        <w:tc>
          <w:tcPr>
            <w:tcW w:w="2038" w:type="dxa"/>
            <w:tcMar>
              <w:top w:w="40" w:type="dxa"/>
              <w:bottom w:w="40" w:type="dxa"/>
            </w:tcMar>
          </w:tcPr>
          <w:p w14:paraId="4CF8ACA4" w14:textId="77777777" w:rsidR="00AB602B" w:rsidRPr="00614EF9" w:rsidRDefault="00AB602B" w:rsidP="00AB602B">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À déterminer</w:t>
            </w:r>
          </w:p>
        </w:tc>
      </w:tr>
      <w:tr w:rsidR="00AB602B" w:rsidRPr="00614EF9" w14:paraId="2AD1A19B"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1400" w:type="dxa"/>
            <w:tcMar>
              <w:top w:w="40" w:type="dxa"/>
              <w:bottom w:w="40" w:type="dxa"/>
            </w:tcMar>
          </w:tcPr>
          <w:p w14:paraId="5E24964E" w14:textId="77777777" w:rsidR="00AB602B" w:rsidRPr="00614EF9" w:rsidRDefault="00E325F6" w:rsidP="00AB602B">
            <w:pPr>
              <w:spacing w:before="20" w:after="20"/>
              <w:rPr>
                <w:lang w:val="fr-FR"/>
              </w:rPr>
            </w:pPr>
            <w:r w:rsidRPr="00614EF9">
              <w:rPr>
                <w:sz w:val="18"/>
                <w:szCs w:val="18"/>
                <w:lang w:val="fr-FR"/>
              </w:rPr>
              <w:t>Bande C</w:t>
            </w:r>
          </w:p>
        </w:tc>
        <w:tc>
          <w:tcPr>
            <w:tcW w:w="3300" w:type="dxa"/>
            <w:tcMar>
              <w:top w:w="40" w:type="dxa"/>
              <w:bottom w:w="40" w:type="dxa"/>
            </w:tcMar>
          </w:tcPr>
          <w:p w14:paraId="3CA70421" w14:textId="77777777" w:rsidR="00AB602B" w:rsidRPr="00614EF9" w:rsidRDefault="00AB602B" w:rsidP="00AB602B">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Huit stations terriennes de réception à protéger, dont une de criticité très élevée ; définition de zones de </w:t>
            </w:r>
            <w:r w:rsidRPr="00614EF9">
              <w:rPr>
                <w:sz w:val="18"/>
                <w:szCs w:val="18"/>
                <w:lang w:val="fr-FR"/>
              </w:rPr>
              <w:lastRenderedPageBreak/>
              <w:t xml:space="preserve">coordination et de mesures de filtrage. Brouillage et conflit </w:t>
            </w:r>
            <w:proofErr w:type="spellStart"/>
            <w:r w:rsidRPr="00614EF9">
              <w:rPr>
                <w:sz w:val="18"/>
                <w:szCs w:val="18"/>
                <w:lang w:val="fr-FR"/>
              </w:rPr>
              <w:t>co</w:t>
            </w:r>
            <w:proofErr w:type="spellEnd"/>
            <w:r w:rsidRPr="00614EF9">
              <w:rPr>
                <w:sz w:val="18"/>
                <w:szCs w:val="18"/>
                <w:lang w:val="fr-FR"/>
              </w:rPr>
              <w:t>-canal</w:t>
            </w:r>
          </w:p>
        </w:tc>
        <w:tc>
          <w:tcPr>
            <w:tcW w:w="2900" w:type="dxa"/>
            <w:tcMar>
              <w:top w:w="40" w:type="dxa"/>
              <w:bottom w:w="40" w:type="dxa"/>
            </w:tcMar>
          </w:tcPr>
          <w:p w14:paraId="6E563F00" w14:textId="77777777" w:rsidR="00AB602B" w:rsidRPr="00614EF9" w:rsidRDefault="00AB602B" w:rsidP="00AB602B">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lastRenderedPageBreak/>
              <w:t xml:space="preserve">Risque d'interruption de la collecte des programmes de </w:t>
            </w:r>
            <w:r w:rsidRPr="00614EF9">
              <w:rPr>
                <w:sz w:val="18"/>
                <w:szCs w:val="18"/>
                <w:lang w:val="fr-FR"/>
              </w:rPr>
              <w:lastRenderedPageBreak/>
              <w:t>télévision en cas de brouillage non maîtrisé.</w:t>
            </w:r>
          </w:p>
        </w:tc>
        <w:tc>
          <w:tcPr>
            <w:tcW w:w="2038" w:type="dxa"/>
            <w:tcMar>
              <w:top w:w="40" w:type="dxa"/>
              <w:bottom w:w="40" w:type="dxa"/>
            </w:tcMar>
          </w:tcPr>
          <w:p w14:paraId="7DBBDB1B" w14:textId="77777777" w:rsidR="00AB602B" w:rsidRPr="00614EF9" w:rsidRDefault="00AB602B" w:rsidP="00AB602B">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lastRenderedPageBreak/>
              <w:t>Élevé</w:t>
            </w:r>
          </w:p>
        </w:tc>
      </w:tr>
    </w:tbl>
    <w:p w14:paraId="47318875" w14:textId="77777777" w:rsidR="00923C2A" w:rsidRPr="00614EF9" w:rsidRDefault="00923C2A" w:rsidP="00923C2A">
      <w:pPr>
        <w:pStyle w:val="Lgende"/>
        <w:spacing w:before="120" w:after="120"/>
        <w:rPr>
          <w:color w:val="000000" w:themeColor="text1"/>
          <w:lang w:val="fr-FR"/>
        </w:rPr>
      </w:pPr>
      <w:bookmarkStart w:id="104" w:name="_Ref240440045"/>
      <w:bookmarkStart w:id="105" w:name="_Toc240614525"/>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11</w:t>
      </w:r>
      <w:r w:rsidRPr="00614EF9">
        <w:rPr>
          <w:color w:val="000000" w:themeColor="text1"/>
          <w:lang w:val="fr-FR"/>
        </w:rPr>
        <w:fldChar w:fldCharType="end"/>
      </w:r>
      <w:r w:rsidRPr="00614EF9">
        <w:rPr>
          <w:color w:val="000000" w:themeColor="text1"/>
          <w:lang w:val="fr-FR"/>
        </w:rPr>
        <w:t>: Évaluation de l’impact de la libération</w:t>
      </w:r>
      <w:bookmarkEnd w:id="104"/>
      <w:bookmarkEnd w:id="105"/>
    </w:p>
    <w:p w14:paraId="524CBF7A" w14:textId="77777777" w:rsidR="00AB602B" w:rsidRPr="00614EF9" w:rsidRDefault="009514E2" w:rsidP="007D4BE4">
      <w:pPr>
        <w:pStyle w:val="Titre2"/>
        <w:rPr>
          <w:lang w:val="fr-FR"/>
        </w:rPr>
      </w:pPr>
      <w:bookmarkStart w:id="106" w:name="_Toc240614379"/>
      <w:r w:rsidRPr="00614EF9">
        <w:rPr>
          <w:lang w:val="fr-FR"/>
        </w:rPr>
        <w:t>Conclusion du diagnostic</w:t>
      </w:r>
      <w:bookmarkEnd w:id="106"/>
    </w:p>
    <w:p w14:paraId="655A9664" w14:textId="77777777" w:rsidR="00884A4E" w:rsidRPr="00614EF9" w:rsidRDefault="009514E2">
      <w:pPr>
        <w:spacing w:before="60"/>
        <w:rPr>
          <w:lang w:val="fr-FR"/>
        </w:rPr>
      </w:pPr>
      <w:r w:rsidRPr="00614EF9">
        <w:rPr>
          <w:lang w:val="fr-FR"/>
        </w:rPr>
        <w:t>Le diagnostic conduit aux paragraphes précédents permet de hiérarchiser les quatre volets du plan de transition selon trois critères : la nature de l'obstacle à lever, le coût de l'opération et la continuité du service rendu aux usagers.</w:t>
      </w:r>
    </w:p>
    <w:p w14:paraId="5F4869D2" w14:textId="77777777" w:rsidR="00884A4E" w:rsidRPr="00614EF9" w:rsidRDefault="009514E2">
      <w:pPr>
        <w:spacing w:before="60"/>
        <w:rPr>
          <w:lang w:val="fr-FR"/>
        </w:rPr>
      </w:pPr>
      <w:r w:rsidRPr="00614EF9">
        <w:rPr>
          <w:b/>
          <w:lang w:val="fr-FR"/>
        </w:rPr>
        <w:t xml:space="preserve">Volet 2,4 GHz et 5 GHz. </w:t>
      </w:r>
      <w:r w:rsidRPr="00614EF9">
        <w:rPr>
          <w:lang w:val="fr-FR"/>
        </w:rPr>
        <w:t>C'est le volet le plus simple à arrêter. Aucun des trois exploitants recensés n'utilise la bande 2,4 GHz : la réservation de cette bande aux réseaux privés est donc sans incidence sur les acteurs en place et ne nécessite aucune opération de migration. L'enjeu se limite à la bande 5 GHz, dont les 159 secteurs déclarés constituent le seul parc à traiter.</w:t>
      </w:r>
    </w:p>
    <w:p w14:paraId="781081EA" w14:textId="77777777" w:rsidR="00884A4E" w:rsidRPr="00614EF9" w:rsidRDefault="009514E2">
      <w:pPr>
        <w:spacing w:before="60"/>
        <w:rPr>
          <w:lang w:val="fr-FR"/>
        </w:rPr>
      </w:pPr>
      <w:r w:rsidRPr="00614EF9">
        <w:rPr>
          <w:b/>
          <w:lang w:val="fr-FR"/>
        </w:rPr>
        <w:t xml:space="preserve">Volet 700 MHz. </w:t>
      </w:r>
      <w:r w:rsidRPr="00614EF9">
        <w:rPr>
          <w:lang w:val="fr-FR"/>
        </w:rPr>
        <w:t>C'est la libération la moins coûteuse et la plus rapidement réalisable. L'extinction de la diffusion analogique libère la bande sans migration d'équipements ni procédure de modification du Plan GE06. Deux réserves l'encadrent néanmoins : les quatre localités concernées ne disposent d'aucun émetteur numérique en service, de sorte qu'une extinction sans substitution les priverait de toute réception télévisuelle terrestre ; et la présence de produits d'intermodulation issus de la radiodiffusion sonore appelle un traitement préalable à la mise en service des réseaux mobiles.</w:t>
      </w:r>
    </w:p>
    <w:p w14:paraId="2C54EC0A" w14:textId="77777777" w:rsidR="00884A4E" w:rsidRPr="00614EF9" w:rsidRDefault="009514E2">
      <w:pPr>
        <w:spacing w:before="60"/>
        <w:rPr>
          <w:lang w:val="fr-FR"/>
        </w:rPr>
      </w:pPr>
      <w:r w:rsidRPr="00614EF9">
        <w:rPr>
          <w:b/>
          <w:lang w:val="fr-FR"/>
        </w:rPr>
        <w:t xml:space="preserve">Volet bande C. </w:t>
      </w:r>
      <w:r w:rsidRPr="00614EF9">
        <w:rPr>
          <w:lang w:val="fr-FR"/>
        </w:rPr>
        <w:t xml:space="preserve">Le recensement de quarante-six stations terriennes, dont dix-neuf reçoivent intégralement à l'intérieur de la bande 3 400–3 800 MHz, établit un conflit </w:t>
      </w:r>
      <w:proofErr w:type="spellStart"/>
      <w:r w:rsidRPr="00614EF9">
        <w:rPr>
          <w:lang w:val="fr-FR"/>
        </w:rPr>
        <w:t>co</w:t>
      </w:r>
      <w:proofErr w:type="spellEnd"/>
      <w:r w:rsidRPr="00614EF9">
        <w:rPr>
          <w:lang w:val="fr-FR"/>
        </w:rPr>
        <w:t xml:space="preserve">-canal que le filtrage ne peut traiter. Il en résulte que la libération de la bande ne doit pas être envisagée dans son intégralité : la portion 3 400–3 600 MHz, qui n'est occupée que par un parc résiduel d'accès hertzien fixe et ne recouvre aucune des réceptions déclarées, constitue la candidate à retenir. Cette solution résout le conflit </w:t>
      </w:r>
      <w:proofErr w:type="spellStart"/>
      <w:r w:rsidRPr="00614EF9">
        <w:rPr>
          <w:lang w:val="fr-FR"/>
        </w:rPr>
        <w:t>co</w:t>
      </w:r>
      <w:proofErr w:type="spellEnd"/>
      <w:r w:rsidRPr="00614EF9">
        <w:rPr>
          <w:lang w:val="fr-FR"/>
        </w:rPr>
        <w:t>-canal sans mesure de protection lourde et réduit l'opération à la migration de deux points d'accès.</w:t>
      </w:r>
    </w:p>
    <w:p w14:paraId="50F0030A" w14:textId="48BACA2C" w:rsidR="00884A4E" w:rsidRPr="00614EF9" w:rsidRDefault="009514E2">
      <w:pPr>
        <w:spacing w:before="60"/>
        <w:rPr>
          <w:lang w:val="fr-FR"/>
        </w:rPr>
      </w:pPr>
      <w:r w:rsidRPr="00614EF9">
        <w:rPr>
          <w:b/>
          <w:lang w:val="fr-FR"/>
        </w:rPr>
        <w:t xml:space="preserve">Volet 600 MHz. </w:t>
      </w:r>
      <w:r w:rsidRPr="00614EF9">
        <w:rPr>
          <w:lang w:val="fr-FR"/>
        </w:rPr>
        <w:t>Ce volet se distingue des trois précédents par la nature de l'obstacle. Il ne soulève pas seulement une difficulté technique (</w:t>
      </w:r>
      <w:r w:rsidR="007940EF" w:rsidRPr="00614EF9">
        <w:rPr>
          <w:lang w:val="fr-FR"/>
        </w:rPr>
        <w:t>replanification</w:t>
      </w:r>
      <w:r w:rsidRPr="00614EF9">
        <w:rPr>
          <w:lang w:val="fr-FR"/>
        </w:rPr>
        <w:t xml:space="preserve"> de deux émetteurs, modification du Plan GE06 pour deux autres, acquisition d'un émetteur numérique pour le cinquième) mais une question de fondement juridique international, la bande n'étant pas allouée au service mobile pour le Niger. S'y ajoute l'audience de la télévision numérique terrestre, comprise entre 67,1 % et 92,5 % des ménages, qui infirme la prémisse d'une offre terrestre marginale sur laquelle reposait le projet de réaffectation.</w:t>
      </w:r>
    </w:p>
    <w:p w14:paraId="22B17472" w14:textId="77777777" w:rsidR="00AB602B" w:rsidRPr="00614EF9" w:rsidRDefault="00AB602B" w:rsidP="00AB602B">
      <w:pPr>
        <w:rPr>
          <w:lang w:val="fr-FR"/>
        </w:rPr>
      </w:pPr>
      <w:r w:rsidRPr="00614EF9">
        <w:rPr>
          <w:lang w:val="fr-FR"/>
        </w:rPr>
        <w:br w:type="page"/>
      </w:r>
    </w:p>
    <w:p w14:paraId="0CCCFCC7" w14:textId="77777777" w:rsidR="007C757E" w:rsidRPr="00614EF9" w:rsidRDefault="009514E2">
      <w:pPr>
        <w:pStyle w:val="Titre1"/>
        <w:rPr>
          <w:lang w:val="fr-FR"/>
        </w:rPr>
      </w:pPr>
      <w:bookmarkStart w:id="107" w:name="_Toc232062294"/>
      <w:bookmarkStart w:id="108" w:name="_Toc236636371"/>
      <w:bookmarkStart w:id="109" w:name="_Toc240614380"/>
      <w:r w:rsidRPr="00614EF9">
        <w:rPr>
          <w:lang w:val="fr-FR"/>
        </w:rPr>
        <w:lastRenderedPageBreak/>
        <w:t>Identification des bandes de repli</w:t>
      </w:r>
      <w:bookmarkEnd w:id="107"/>
      <w:bookmarkEnd w:id="108"/>
      <w:bookmarkEnd w:id="109"/>
    </w:p>
    <w:p w14:paraId="2F0A1D16" w14:textId="77777777" w:rsidR="007C757E" w:rsidRPr="00614EF9" w:rsidRDefault="009514E2" w:rsidP="007D4BE4">
      <w:pPr>
        <w:pStyle w:val="Titre2"/>
        <w:rPr>
          <w:lang w:val="fr-FR"/>
        </w:rPr>
      </w:pPr>
      <w:bookmarkStart w:id="110" w:name="_Toc232062295"/>
      <w:bookmarkStart w:id="111" w:name="_Toc236636372"/>
      <w:bookmarkStart w:id="112" w:name="_Toc240614381"/>
      <w:r w:rsidRPr="00614EF9">
        <w:rPr>
          <w:lang w:val="fr-FR"/>
        </w:rPr>
        <w:t>Bonnes pratiques internationales</w:t>
      </w:r>
      <w:bookmarkEnd w:id="110"/>
      <w:bookmarkEnd w:id="111"/>
      <w:bookmarkEnd w:id="112"/>
    </w:p>
    <w:p w14:paraId="320A90B6" w14:textId="77777777" w:rsidR="003A2650" w:rsidRPr="00614EF9" w:rsidRDefault="009514E2">
      <w:pPr>
        <w:spacing w:before="60"/>
        <w:rPr>
          <w:lang w:val="fr-FR"/>
        </w:rPr>
      </w:pPr>
      <w:r w:rsidRPr="00614EF9">
        <w:rPr>
          <w:lang w:val="fr-FR"/>
        </w:rPr>
        <w:t>Les orientations retenues s’appuient sur les pratiques observées dans les administrations ayant conduit des opérations comparables.</w:t>
      </w:r>
    </w:p>
    <w:p w14:paraId="5A5E670A" w14:textId="77777777" w:rsidR="00454D46" w:rsidRPr="00614EF9" w:rsidRDefault="00454D46" w:rsidP="0066730D">
      <w:pPr>
        <w:pStyle w:val="Titre3"/>
        <w:rPr>
          <w:lang w:val="fr-FR"/>
        </w:rPr>
      </w:pPr>
      <w:bookmarkStart w:id="113" w:name="_Toc240614382"/>
      <w:r w:rsidRPr="00614EF9">
        <w:rPr>
          <w:lang w:val="fr-FR"/>
        </w:rPr>
        <w:t>Cas de la bande 600 MHz</w:t>
      </w:r>
      <w:bookmarkEnd w:id="113"/>
    </w:p>
    <w:p w14:paraId="72A3CB10" w14:textId="67DD42D6" w:rsidR="00454D46" w:rsidRPr="00614EF9" w:rsidRDefault="00454D46">
      <w:pPr>
        <w:spacing w:before="60"/>
        <w:rPr>
          <w:lang w:val="fr-FR"/>
        </w:rPr>
      </w:pPr>
      <w:r w:rsidRPr="00614EF9">
        <w:rPr>
          <w:lang w:val="fr-FR"/>
        </w:rPr>
        <w:t xml:space="preserve">Les administrations ayant réaffecté une portion de la bande de radiodiffusion au service mobile l'ont fait après avoir obtenu, au Tableau d'attribution </w:t>
      </w:r>
      <w:r w:rsidR="007940EF" w:rsidRPr="00614EF9">
        <w:rPr>
          <w:lang w:val="fr-FR"/>
        </w:rPr>
        <w:t xml:space="preserve">du RR </w:t>
      </w:r>
      <w:r w:rsidRPr="00614EF9">
        <w:rPr>
          <w:lang w:val="fr-FR"/>
        </w:rPr>
        <w:t xml:space="preserve">ou par note de renvoi du RR, une attribution opposable. </w:t>
      </w:r>
    </w:p>
    <w:p w14:paraId="10B21C40" w14:textId="77777777" w:rsidR="00454D46" w:rsidRPr="00614EF9" w:rsidRDefault="00454D46">
      <w:pPr>
        <w:spacing w:before="60"/>
        <w:rPr>
          <w:lang w:val="fr-FR"/>
        </w:rPr>
      </w:pPr>
      <w:r w:rsidRPr="00614EF9">
        <w:rPr>
          <w:lang w:val="fr-FR"/>
        </w:rPr>
        <w:t xml:space="preserve">Cette antériorité n'est pas une formalité : elle conditionne la possibilité de coordonner les réseaux avec les administrations voisines et d'obtenir une protection contre leurs émissions. </w:t>
      </w:r>
    </w:p>
    <w:p w14:paraId="1BF28B42" w14:textId="77777777" w:rsidR="00454D46" w:rsidRPr="00614EF9" w:rsidRDefault="00454D46">
      <w:pPr>
        <w:spacing w:before="60"/>
        <w:rPr>
          <w:lang w:val="fr-FR"/>
        </w:rPr>
      </w:pPr>
      <w:r w:rsidRPr="00614EF9">
        <w:rPr>
          <w:lang w:val="fr-FR"/>
        </w:rPr>
        <w:t>Une réaffectation opérée sans base d’attribution relève du numéro 4.4 du RR. Les stations ainsi établies ne peuvent causer de brouillage préjudiciable aux stations exploitées conformément au RR, ni réclamer de protection à leur égard.</w:t>
      </w:r>
    </w:p>
    <w:p w14:paraId="42D52BCF" w14:textId="77777777" w:rsidR="00454D46" w:rsidRPr="00614EF9" w:rsidRDefault="00454D46" w:rsidP="0066730D">
      <w:pPr>
        <w:pStyle w:val="Titre3"/>
        <w:rPr>
          <w:lang w:val="fr-FR"/>
        </w:rPr>
      </w:pPr>
      <w:bookmarkStart w:id="114" w:name="_Toc240614383"/>
      <w:r w:rsidRPr="00614EF9">
        <w:rPr>
          <w:lang w:val="fr-FR"/>
        </w:rPr>
        <w:t>Cas de la bande 700 MHz</w:t>
      </w:r>
      <w:bookmarkEnd w:id="114"/>
    </w:p>
    <w:p w14:paraId="06FE6CF5" w14:textId="77777777" w:rsidR="00454D46" w:rsidRPr="00614EF9" w:rsidRDefault="00454D46" w:rsidP="00454D46">
      <w:pPr>
        <w:spacing w:before="60"/>
        <w:rPr>
          <w:lang w:val="fr-FR"/>
        </w:rPr>
      </w:pPr>
      <w:r w:rsidRPr="00614EF9">
        <w:rPr>
          <w:lang w:val="fr-FR"/>
        </w:rPr>
        <w:t>La libération des bandes UHF au profit du service mobile a été conduite, dans de nombreuses administrations, par voie d'extinction de la diffusion analogique puis de regroupement des multiplex numériques dans la portion basse de la bande (470-614/694 MHz). Cette séquence (extinction, regroupement, libération) limite le coût de la transition en évitant les migrations intermédiaires.</w:t>
      </w:r>
    </w:p>
    <w:p w14:paraId="69A6B4CA" w14:textId="01072DB7" w:rsidR="00454D46" w:rsidRPr="00614EF9" w:rsidRDefault="00795E1F">
      <w:pPr>
        <w:spacing w:before="60"/>
        <w:rPr>
          <w:lang w:val="fr-FR"/>
        </w:rPr>
      </w:pPr>
      <w:r w:rsidRPr="00614EF9">
        <w:rPr>
          <w:lang w:val="fr-FR"/>
        </w:rPr>
        <w:t>Dans la plupart des cas, la continuité de réception est assurée par une période de double diffusion (</w:t>
      </w:r>
      <w:proofErr w:type="spellStart"/>
      <w:r w:rsidRPr="00614EF9">
        <w:rPr>
          <w:i/>
          <w:iCs/>
          <w:lang w:val="fr-FR"/>
        </w:rPr>
        <w:t>simulcast</w:t>
      </w:r>
      <w:proofErr w:type="spellEnd"/>
      <w:r w:rsidR="008D0439" w:rsidRPr="00614EF9">
        <w:rPr>
          <w:i/>
          <w:iCs/>
          <w:lang w:val="fr-FR"/>
        </w:rPr>
        <w:fldChar w:fldCharType="begin"/>
      </w:r>
      <w:r w:rsidR="008D0439" w:rsidRPr="00614EF9">
        <w:instrText xml:space="preserve"> XE "</w:instrText>
      </w:r>
      <w:proofErr w:type="spellStart"/>
      <w:proofErr w:type="gramStart"/>
      <w:r w:rsidR="008D0439" w:rsidRPr="00614EF9">
        <w:rPr>
          <w:i/>
          <w:iCs/>
          <w:lang w:val="fr-FR"/>
        </w:rPr>
        <w:instrText>simulcast</w:instrText>
      </w:r>
      <w:proofErr w:type="spellEnd"/>
      <w:r w:rsidR="008D0439" w:rsidRPr="00614EF9">
        <w:rPr>
          <w:i/>
          <w:iCs/>
          <w:lang w:val="fr-FR"/>
        </w:rPr>
        <w:instrText>:</w:instrText>
      </w:r>
      <w:r w:rsidR="008D0439" w:rsidRPr="00614EF9">
        <w:instrText>Double</w:instrText>
      </w:r>
      <w:proofErr w:type="gramEnd"/>
      <w:r w:rsidR="008D0439" w:rsidRPr="00614EF9">
        <w:instrText xml:space="preserve"> diffusion" </w:instrText>
      </w:r>
      <w:r w:rsidR="008D0439" w:rsidRPr="00614EF9">
        <w:rPr>
          <w:i/>
          <w:iCs/>
          <w:lang w:val="fr-FR"/>
        </w:rPr>
        <w:fldChar w:fldCharType="end"/>
      </w:r>
      <w:r w:rsidRPr="00614EF9">
        <w:rPr>
          <w:lang w:val="fr-FR"/>
        </w:rPr>
        <w:t>) de durée limitée, accompagnée d'une campagne d'information du public et, le cas échéant, d'un dispositif d'aide à l'équipement des foyers.</w:t>
      </w:r>
    </w:p>
    <w:p w14:paraId="3B7295A8" w14:textId="77777777" w:rsidR="00454D46" w:rsidRPr="00614EF9" w:rsidRDefault="00454D46" w:rsidP="0066730D">
      <w:pPr>
        <w:pStyle w:val="Titre3"/>
        <w:rPr>
          <w:lang w:val="fr-FR"/>
        </w:rPr>
      </w:pPr>
      <w:bookmarkStart w:id="115" w:name="_Toc240614384"/>
      <w:r w:rsidRPr="00614EF9">
        <w:rPr>
          <w:lang w:val="fr-FR"/>
        </w:rPr>
        <w:t>Cas de la bande 5 GHz</w:t>
      </w:r>
      <w:bookmarkEnd w:id="115"/>
    </w:p>
    <w:p w14:paraId="35E41391" w14:textId="1BDD53C2" w:rsidR="00454D46" w:rsidRPr="00614EF9" w:rsidRDefault="00454D46">
      <w:pPr>
        <w:spacing w:before="60"/>
        <w:rPr>
          <w:lang w:val="fr-FR"/>
        </w:rPr>
      </w:pPr>
      <w:r w:rsidRPr="00614EF9">
        <w:rPr>
          <w:lang w:val="fr-FR"/>
        </w:rPr>
        <w:t xml:space="preserve">L’ouverture de la portion basse de la bande 6 GHz </w:t>
      </w:r>
      <w:r w:rsidR="00DF4DAF" w:rsidRPr="00614EF9">
        <w:rPr>
          <w:lang w:val="fr-FR"/>
        </w:rPr>
        <w:t xml:space="preserve">Low </w:t>
      </w:r>
      <w:r w:rsidRPr="00614EF9">
        <w:rPr>
          <w:lang w:val="fr-FR"/>
        </w:rPr>
        <w:t>(5 925-6 425 MHz) aux réseaux locaux radioélectriques à puissance standard en extérieur suppose, dans les cadres de référence, un système de coordination automatisée des fréquences interrogeant une base de données des assignations titulaires.</w:t>
      </w:r>
    </w:p>
    <w:p w14:paraId="09CF6ABC" w14:textId="77777777" w:rsidR="00454D46" w:rsidRPr="00614EF9" w:rsidRDefault="00454D46" w:rsidP="0066730D">
      <w:pPr>
        <w:pStyle w:val="Titre3"/>
        <w:rPr>
          <w:lang w:val="fr-FR"/>
        </w:rPr>
      </w:pPr>
      <w:bookmarkStart w:id="116" w:name="_Toc240614385"/>
      <w:r w:rsidRPr="00614EF9">
        <w:rPr>
          <w:lang w:val="fr-FR"/>
        </w:rPr>
        <w:t>Cas de la bande 3400-3600 MHz (3,5 GHz)</w:t>
      </w:r>
      <w:bookmarkEnd w:id="116"/>
    </w:p>
    <w:p w14:paraId="753E6597" w14:textId="77777777" w:rsidR="00795E1F" w:rsidRPr="00614EF9" w:rsidRDefault="00795E1F" w:rsidP="007E0FED">
      <w:pPr>
        <w:pStyle w:val="Titre4"/>
        <w:rPr>
          <w:lang w:val="fr-FR"/>
        </w:rPr>
      </w:pPr>
      <w:bookmarkStart w:id="117" w:name="_Toc240614386"/>
      <w:r w:rsidRPr="00614EF9">
        <w:rPr>
          <w:lang w:val="fr-FR"/>
        </w:rPr>
        <w:t xml:space="preserve">Coexistence </w:t>
      </w:r>
      <w:proofErr w:type="spellStart"/>
      <w:r w:rsidRPr="00614EF9">
        <w:rPr>
          <w:lang w:val="fr-FR"/>
        </w:rPr>
        <w:t>co</w:t>
      </w:r>
      <w:proofErr w:type="spellEnd"/>
      <w:r w:rsidRPr="00614EF9">
        <w:rPr>
          <w:lang w:val="fr-FR"/>
        </w:rPr>
        <w:t>-canal réseaux mobiles et réseaux d’accès hertzien fixe</w:t>
      </w:r>
      <w:bookmarkEnd w:id="117"/>
    </w:p>
    <w:p w14:paraId="75CC5401" w14:textId="77777777" w:rsidR="00795E1F" w:rsidRPr="00614EF9" w:rsidRDefault="00795E1F" w:rsidP="00795E1F">
      <w:pPr>
        <w:spacing w:before="60"/>
        <w:rPr>
          <w:lang w:val="fr-FR"/>
        </w:rPr>
      </w:pPr>
      <w:r w:rsidRPr="00614EF9">
        <w:rPr>
          <w:lang w:val="fr-FR"/>
        </w:rPr>
        <w:t xml:space="preserve">La coexistence </w:t>
      </w:r>
      <w:proofErr w:type="spellStart"/>
      <w:r w:rsidRPr="00614EF9">
        <w:rPr>
          <w:lang w:val="fr-FR"/>
        </w:rPr>
        <w:t>co</w:t>
      </w:r>
      <w:proofErr w:type="spellEnd"/>
      <w:r w:rsidRPr="00614EF9">
        <w:rPr>
          <w:lang w:val="fr-FR"/>
        </w:rPr>
        <w:t xml:space="preserve">-canal entre réseaux mobiles et réseaux d’accès hertzien fixe dans la bande </w:t>
      </w:r>
      <w:r w:rsidR="00C1792C" w:rsidRPr="00614EF9">
        <w:rPr>
          <w:lang w:val="fr-FR"/>
        </w:rPr>
        <w:t>3,5 GHz</w:t>
      </w:r>
      <w:r w:rsidRPr="00614EF9">
        <w:rPr>
          <w:lang w:val="fr-FR"/>
        </w:rPr>
        <w:t xml:space="preserve"> est techniquement possible mais très contraignante. Aucun filtrage ne peut résoudre un recouvrement sur la même fréquence. La protection repose donc sur :</w:t>
      </w:r>
    </w:p>
    <w:p w14:paraId="3ABF97D6" w14:textId="77777777" w:rsidR="00795E1F" w:rsidRPr="00614EF9" w:rsidRDefault="00795E1F">
      <w:pPr>
        <w:numPr>
          <w:ilvl w:val="0"/>
          <w:numId w:val="4"/>
        </w:numPr>
        <w:spacing w:before="60"/>
        <w:rPr>
          <w:lang w:val="fr-FR"/>
        </w:rPr>
      </w:pPr>
      <w:proofErr w:type="gramStart"/>
      <w:r w:rsidRPr="00614EF9">
        <w:rPr>
          <w:lang w:val="fr-FR"/>
        </w:rPr>
        <w:t>la</w:t>
      </w:r>
      <w:proofErr w:type="gramEnd"/>
      <w:r w:rsidRPr="00614EF9">
        <w:rPr>
          <w:lang w:val="fr-FR"/>
        </w:rPr>
        <w:t> séparation géographique ;</w:t>
      </w:r>
    </w:p>
    <w:p w14:paraId="6330AEC1" w14:textId="77777777" w:rsidR="00795E1F" w:rsidRPr="00614EF9" w:rsidRDefault="00795E1F">
      <w:pPr>
        <w:numPr>
          <w:ilvl w:val="0"/>
          <w:numId w:val="4"/>
        </w:numPr>
        <w:spacing w:before="60"/>
        <w:rPr>
          <w:lang w:val="fr-FR"/>
        </w:rPr>
      </w:pPr>
      <w:proofErr w:type="gramStart"/>
      <w:r w:rsidRPr="00614EF9">
        <w:rPr>
          <w:lang w:val="fr-FR"/>
        </w:rPr>
        <w:t>la</w:t>
      </w:r>
      <w:proofErr w:type="gramEnd"/>
      <w:r w:rsidRPr="00614EF9">
        <w:rPr>
          <w:lang w:val="fr-FR"/>
        </w:rPr>
        <w:t> coordination site par site ;</w:t>
      </w:r>
    </w:p>
    <w:p w14:paraId="5DACFCED" w14:textId="77777777" w:rsidR="00795E1F" w:rsidRPr="00614EF9" w:rsidRDefault="00795E1F">
      <w:pPr>
        <w:numPr>
          <w:ilvl w:val="0"/>
          <w:numId w:val="4"/>
        </w:numPr>
        <w:spacing w:before="60"/>
        <w:rPr>
          <w:lang w:val="fr-FR"/>
        </w:rPr>
      </w:pPr>
      <w:proofErr w:type="gramStart"/>
      <w:r w:rsidRPr="00614EF9">
        <w:rPr>
          <w:lang w:val="fr-FR"/>
        </w:rPr>
        <w:t>la</w:t>
      </w:r>
      <w:proofErr w:type="gramEnd"/>
      <w:r w:rsidRPr="00614EF9">
        <w:rPr>
          <w:lang w:val="fr-FR"/>
        </w:rPr>
        <w:t> limitation des puissances ;</w:t>
      </w:r>
    </w:p>
    <w:p w14:paraId="506FEFA1" w14:textId="77777777" w:rsidR="00795E1F" w:rsidRPr="00614EF9" w:rsidRDefault="00795E1F">
      <w:pPr>
        <w:numPr>
          <w:ilvl w:val="0"/>
          <w:numId w:val="4"/>
        </w:numPr>
        <w:spacing w:before="60"/>
        <w:rPr>
          <w:lang w:val="fr-FR"/>
        </w:rPr>
      </w:pPr>
      <w:proofErr w:type="gramStart"/>
      <w:r w:rsidRPr="00614EF9">
        <w:rPr>
          <w:lang w:val="fr-FR"/>
        </w:rPr>
        <w:lastRenderedPageBreak/>
        <w:t>la</w:t>
      </w:r>
      <w:proofErr w:type="gramEnd"/>
      <w:r w:rsidRPr="00614EF9">
        <w:rPr>
          <w:lang w:val="fr-FR"/>
        </w:rPr>
        <w:t> discrimination antennaire ;</w:t>
      </w:r>
    </w:p>
    <w:p w14:paraId="7148E407" w14:textId="77777777" w:rsidR="00795E1F" w:rsidRPr="00614EF9" w:rsidRDefault="00795E1F">
      <w:pPr>
        <w:numPr>
          <w:ilvl w:val="0"/>
          <w:numId w:val="4"/>
        </w:numPr>
        <w:spacing w:before="60"/>
        <w:rPr>
          <w:lang w:val="fr-FR"/>
        </w:rPr>
      </w:pPr>
      <w:proofErr w:type="gramStart"/>
      <w:r w:rsidRPr="00614EF9">
        <w:rPr>
          <w:lang w:val="fr-FR"/>
        </w:rPr>
        <w:t>la</w:t>
      </w:r>
      <w:proofErr w:type="gramEnd"/>
      <w:r w:rsidRPr="00614EF9">
        <w:rPr>
          <w:lang w:val="fr-FR"/>
        </w:rPr>
        <w:t> synchronisation temporelle ;</w:t>
      </w:r>
    </w:p>
    <w:p w14:paraId="1460DA01" w14:textId="77777777" w:rsidR="00795E1F" w:rsidRPr="00614EF9" w:rsidRDefault="00795E1F">
      <w:pPr>
        <w:numPr>
          <w:ilvl w:val="0"/>
          <w:numId w:val="4"/>
        </w:numPr>
        <w:spacing w:before="60"/>
        <w:rPr>
          <w:lang w:val="fr-FR"/>
        </w:rPr>
      </w:pPr>
      <w:proofErr w:type="gramStart"/>
      <w:r w:rsidRPr="00614EF9">
        <w:rPr>
          <w:lang w:val="fr-FR"/>
        </w:rPr>
        <w:t>un</w:t>
      </w:r>
      <w:proofErr w:type="gramEnd"/>
      <w:r w:rsidRPr="00614EF9">
        <w:rPr>
          <w:lang w:val="fr-FR"/>
        </w:rPr>
        <w:t> mécanisme de coordination dynamique.</w:t>
      </w:r>
    </w:p>
    <w:p w14:paraId="62981CC5" w14:textId="77777777" w:rsidR="00795E1F" w:rsidRPr="00614EF9" w:rsidRDefault="00795E1F" w:rsidP="007E0FED">
      <w:pPr>
        <w:pStyle w:val="Titre4"/>
        <w:rPr>
          <w:lang w:val="fr-FR"/>
        </w:rPr>
      </w:pPr>
      <w:bookmarkStart w:id="118" w:name="_Toc240614387"/>
      <w:r w:rsidRPr="00614EF9">
        <w:rPr>
          <w:lang w:val="fr-FR"/>
        </w:rPr>
        <w:t>Coexistence en canal adjacent entre réseaux mobiles et stations terriennes</w:t>
      </w:r>
      <w:bookmarkEnd w:id="118"/>
    </w:p>
    <w:p w14:paraId="0094AB8E" w14:textId="77777777" w:rsidR="003A2650" w:rsidRPr="00614EF9" w:rsidRDefault="009514E2">
      <w:pPr>
        <w:spacing w:before="60"/>
        <w:rPr>
          <w:lang w:val="fr-FR"/>
        </w:rPr>
      </w:pPr>
      <w:r w:rsidRPr="00614EF9">
        <w:rPr>
          <w:lang w:val="fr-FR"/>
        </w:rPr>
        <w:t xml:space="preserve">Le périmètre retenu au terme du diagnostic, limité à 3 400-3 600 MHz, supprime tout recouvrement </w:t>
      </w:r>
      <w:proofErr w:type="spellStart"/>
      <w:r w:rsidRPr="00614EF9">
        <w:rPr>
          <w:lang w:val="fr-FR"/>
        </w:rPr>
        <w:t>co</w:t>
      </w:r>
      <w:proofErr w:type="spellEnd"/>
      <w:r w:rsidRPr="00614EF9">
        <w:rPr>
          <w:lang w:val="fr-FR"/>
        </w:rPr>
        <w:t>-canal avec les stations terriennes déclarées. La coexistence à traiter porte donc sur le canal adjacent, à la limite supérieure de la portion réaffectée.</w:t>
      </w:r>
    </w:p>
    <w:p w14:paraId="62860EF8" w14:textId="77777777" w:rsidR="00D11D01" w:rsidRPr="00614EF9" w:rsidRDefault="009514E2">
      <w:pPr>
        <w:spacing w:before="60"/>
        <w:rPr>
          <w:lang w:val="fr-FR"/>
        </w:rPr>
      </w:pPr>
      <w:r w:rsidRPr="00614EF9">
        <w:rPr>
          <w:lang w:val="fr-FR"/>
        </w:rPr>
        <w:t>Deux mécanismes distincts doivent être considérés, qui n'appellent pas les mêmes remèdes.</w:t>
      </w:r>
    </w:p>
    <w:p w14:paraId="1FEBAF8E" w14:textId="77777777" w:rsidR="00DF4DAF" w:rsidRPr="00614EF9" w:rsidRDefault="009514E2" w:rsidP="0075618B">
      <w:pPr>
        <w:pStyle w:val="Paragraphedeliste"/>
        <w:numPr>
          <w:ilvl w:val="0"/>
          <w:numId w:val="16"/>
        </w:numPr>
        <w:spacing w:before="60" w:after="120"/>
        <w:jc w:val="both"/>
        <w:rPr>
          <w:rFonts w:ascii="Century Gothic" w:hAnsi="Century Gothic"/>
          <w:sz w:val="24"/>
          <w:szCs w:val="24"/>
          <w:lang w:val="fr-FR"/>
        </w:rPr>
      </w:pPr>
      <w:r w:rsidRPr="00614EF9">
        <w:rPr>
          <w:rFonts w:ascii="Century Gothic" w:hAnsi="Century Gothic"/>
          <w:sz w:val="24"/>
          <w:szCs w:val="24"/>
          <w:lang w:val="fr-FR"/>
        </w:rPr>
        <w:t xml:space="preserve">Les émissions non désirées des stations de base, qui tombent dans la bande de réception satellitaire et y relèvent le plancher de bruit du récepteur. </w:t>
      </w:r>
    </w:p>
    <w:p w14:paraId="4BF93CA0" w14:textId="720E0BE8" w:rsidR="00D11D01" w:rsidRPr="00614EF9" w:rsidRDefault="009514E2" w:rsidP="00DF4DAF">
      <w:pPr>
        <w:pStyle w:val="Paragraphedeliste"/>
        <w:spacing w:before="60" w:after="120"/>
        <w:ind w:left="1068"/>
        <w:jc w:val="both"/>
        <w:rPr>
          <w:rFonts w:ascii="Century Gothic" w:hAnsi="Century Gothic"/>
          <w:sz w:val="24"/>
          <w:szCs w:val="24"/>
          <w:lang w:val="fr-FR"/>
        </w:rPr>
      </w:pPr>
      <w:r w:rsidRPr="00614EF9">
        <w:rPr>
          <w:rFonts w:ascii="Century Gothic" w:hAnsi="Century Gothic"/>
          <w:sz w:val="24"/>
          <w:szCs w:val="24"/>
          <w:lang w:val="fr-FR"/>
        </w:rPr>
        <w:t>Le critère de protection usuel est un rapport brouillage sur bruit de − 10 dB, correspondant à un accroissement de six pour cent de la température de bruit du système, conformément aux Recommandations UIT-R S.1432 et SF.1006.</w:t>
      </w:r>
    </w:p>
    <w:p w14:paraId="3397A715" w14:textId="77777777" w:rsidR="00D11D01" w:rsidRPr="00614EF9" w:rsidRDefault="009514E2" w:rsidP="0075618B">
      <w:pPr>
        <w:pStyle w:val="Paragraphedeliste"/>
        <w:numPr>
          <w:ilvl w:val="0"/>
          <w:numId w:val="16"/>
        </w:numPr>
        <w:spacing w:before="60" w:after="120"/>
        <w:jc w:val="both"/>
        <w:rPr>
          <w:rFonts w:ascii="Century Gothic" w:hAnsi="Century Gothic"/>
          <w:sz w:val="24"/>
          <w:szCs w:val="24"/>
          <w:lang w:val="fr-FR"/>
        </w:rPr>
      </w:pPr>
      <w:r w:rsidRPr="00614EF9">
        <w:rPr>
          <w:rFonts w:ascii="Century Gothic" w:hAnsi="Century Gothic"/>
          <w:sz w:val="24"/>
          <w:szCs w:val="24"/>
          <w:lang w:val="fr-FR"/>
        </w:rPr>
        <w:t>Le blocage du convertisseur à faible bruit par la porteuse utile du réseau mobile, alors même que les émissions non désirées seraient conformes. Ce mécanisme appelle un filtrage en entrée de réception ou une séparation géographique.</w:t>
      </w:r>
    </w:p>
    <w:p w14:paraId="5BF1AC1D" w14:textId="77777777" w:rsidR="00D11D01" w:rsidRPr="00614EF9" w:rsidRDefault="009514E2">
      <w:pPr>
        <w:spacing w:before="60"/>
        <w:rPr>
          <w:lang w:val="fr-FR"/>
        </w:rPr>
      </w:pPr>
      <w:r w:rsidRPr="00614EF9">
        <w:rPr>
          <w:lang w:val="fr-FR"/>
        </w:rPr>
        <w:t xml:space="preserve">Les huit stations déclarées par TDN sont annoncées en réception </w:t>
      </w:r>
      <w:proofErr w:type="spellStart"/>
      <w:r w:rsidRPr="00614EF9">
        <w:rPr>
          <w:lang w:val="fr-FR"/>
        </w:rPr>
        <w:t>dès</w:t>
      </w:r>
      <w:proofErr w:type="spellEnd"/>
      <w:r w:rsidRPr="00614EF9">
        <w:rPr>
          <w:lang w:val="fr-FR"/>
        </w:rPr>
        <w:t xml:space="preserve"> 3 600 MHz, c'est-à-dire exactement à la limite supérieure de la portion réaffectée, sans aucun intervalle. Cette borne de 3 600 MHz correspond vraisemblablement à la couverture nominale des convertisseurs plutôt qu'aux transpondeurs effectivement exploités. </w:t>
      </w:r>
    </w:p>
    <w:p w14:paraId="6164CC6B" w14:textId="77777777" w:rsidR="00D11D01" w:rsidRPr="00614EF9" w:rsidRDefault="009514E2">
      <w:pPr>
        <w:spacing w:before="60"/>
        <w:rPr>
          <w:lang w:val="fr-FR"/>
        </w:rPr>
      </w:pPr>
      <w:r w:rsidRPr="00614EF9">
        <w:rPr>
          <w:lang w:val="fr-FR"/>
        </w:rPr>
        <w:t>Les mesures suivantes pourront être retenues :</w:t>
      </w:r>
    </w:p>
    <w:p w14:paraId="730316AF"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Une bande de garde à la limite supérieure de la portion réaffectée, dont la largeur sera arrêtée après une étude de compatibilité nationale ;</w:t>
      </w:r>
    </w:p>
    <w:p w14:paraId="588A3467"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Un masque de bord de bloc applicable aux stations de base, fixant la limite des émissions non désirées dans la bande de réception satellitaire ;</w:t>
      </w:r>
    </w:p>
    <w:p w14:paraId="490944C9"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Des filtres passe-bande ou réjecteurs installés en amont des convertisseurs à faible bruit, seule mesure capable de traiter le blocage ;</w:t>
      </w:r>
    </w:p>
    <w:p w14:paraId="03A0A60B"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Des zones de coordination établies station par station, selon les méthodes des Recommandations UIT-R S.741 et S.1341 ;</w:t>
      </w:r>
    </w:p>
    <w:p w14:paraId="450EB15D"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Des contraintes d'implantation applicables à l'intérieur de ces zones ;</w:t>
      </w:r>
    </w:p>
    <w:p w14:paraId="5FB70D8E"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L'enregistrement préalable des stations terriennes auprès de l'Autorité, comme condition de leur protection ; </w:t>
      </w:r>
    </w:p>
    <w:p w14:paraId="0C8FF973" w14:textId="77777777" w:rsidR="00D11D01" w:rsidRPr="00614EF9" w:rsidRDefault="009514E2" w:rsidP="00D60AFA">
      <w:pPr>
        <w:pStyle w:val="Paragraphedeliste"/>
        <w:numPr>
          <w:ilvl w:val="0"/>
          <w:numId w:val="15"/>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Une procédure de traitement des brouillages entre les parties.</w:t>
      </w:r>
    </w:p>
    <w:p w14:paraId="0A6163BB" w14:textId="77777777" w:rsidR="0075618B" w:rsidRPr="00614EF9" w:rsidRDefault="0075618B" w:rsidP="0066730D">
      <w:pPr>
        <w:pStyle w:val="Titre3"/>
        <w:rPr>
          <w:lang w:val="fr-FR"/>
        </w:rPr>
      </w:pPr>
      <w:bookmarkStart w:id="119" w:name="_Toc240614388"/>
      <w:r w:rsidRPr="00614EF9">
        <w:rPr>
          <w:lang w:val="fr-FR"/>
        </w:rPr>
        <w:lastRenderedPageBreak/>
        <w:t>Conclusion</w:t>
      </w:r>
      <w:bookmarkEnd w:id="119"/>
    </w:p>
    <w:p w14:paraId="553BC430" w14:textId="77777777" w:rsidR="003A2650" w:rsidRPr="00614EF9" w:rsidRDefault="009514E2">
      <w:pPr>
        <w:spacing w:before="60"/>
        <w:rPr>
          <w:lang w:val="fr-FR"/>
        </w:rPr>
      </w:pPr>
      <w:r w:rsidRPr="00614EF9">
        <w:rPr>
          <w:lang w:val="fr-FR"/>
        </w:rPr>
        <w:t>Ces pratiques sont adaptées aux réalités nationales, en particulier au niveau d'équipement des foyers, à l'étendue du territoire et à la longueur des frontières communes nécessitant une coordination.</w:t>
      </w:r>
    </w:p>
    <w:p w14:paraId="70E25BAC" w14:textId="77777777" w:rsidR="007C757E" w:rsidRPr="00614EF9" w:rsidRDefault="009514E2" w:rsidP="007D4BE4">
      <w:pPr>
        <w:pStyle w:val="Titre2"/>
        <w:rPr>
          <w:lang w:val="fr-FR"/>
        </w:rPr>
      </w:pPr>
      <w:bookmarkStart w:id="120" w:name="_Toc232062296"/>
      <w:bookmarkStart w:id="121" w:name="_Toc236636373"/>
      <w:bookmarkStart w:id="122" w:name="_Toc240614389"/>
      <w:r w:rsidRPr="00614EF9">
        <w:rPr>
          <w:lang w:val="fr-FR"/>
        </w:rPr>
        <w:t>Bandes candidates et conformité au PNAF</w:t>
      </w:r>
      <w:bookmarkEnd w:id="120"/>
      <w:bookmarkEnd w:id="121"/>
      <w:bookmarkEnd w:id="122"/>
    </w:p>
    <w:p w14:paraId="36E3C774" w14:textId="66B6CFDB" w:rsidR="003A2650" w:rsidRPr="00614EF9" w:rsidRDefault="009514E2">
      <w:pPr>
        <w:spacing w:before="60"/>
        <w:rPr>
          <w:lang w:val="fr-FR"/>
        </w:rPr>
      </w:pPr>
      <w:r w:rsidRPr="00614EF9">
        <w:rPr>
          <w:lang w:val="fr-FR"/>
        </w:rPr>
        <w:t xml:space="preserve">Les bandes de repli proposées pour chaque catégorie d'assignataire impacté sont décrites par le </w:t>
      </w:r>
      <w:r w:rsidRPr="00614EF9">
        <w:rPr>
          <w:lang w:val="fr-FR"/>
        </w:rPr>
        <w:fldChar w:fldCharType="begin"/>
      </w:r>
      <w:r w:rsidRPr="00614EF9">
        <w:rPr>
          <w:lang w:val="fr-FR"/>
        </w:rPr>
        <w:instrText xml:space="preserve"> REF _Ref240440188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12</w:t>
      </w:r>
      <w:r w:rsidRPr="00614EF9">
        <w:rPr>
          <w:lang w:val="fr-FR"/>
        </w:rPr>
        <w:fldChar w:fldCharType="end"/>
      </w:r>
      <w:r w:rsidRPr="00614EF9">
        <w:rPr>
          <w:lang w:val="fr-FR"/>
        </w:rPr>
        <w:t xml:space="preserve"> suivant. </w:t>
      </w:r>
    </w:p>
    <w:tbl>
      <w:tblPr>
        <w:tblStyle w:val="TableauGrille4-Accentuation3"/>
        <w:tblW w:w="9638" w:type="dxa"/>
        <w:jc w:val="center"/>
        <w:tblLayout w:type="fixed"/>
        <w:tblLook w:val="04A0" w:firstRow="1" w:lastRow="0" w:firstColumn="1" w:lastColumn="0" w:noHBand="0" w:noVBand="1"/>
      </w:tblPr>
      <w:tblGrid>
        <w:gridCol w:w="2300"/>
        <w:gridCol w:w="1600"/>
        <w:gridCol w:w="3200"/>
        <w:gridCol w:w="2538"/>
      </w:tblGrid>
      <w:tr w:rsidR="003A2650" w:rsidRPr="00614EF9" w14:paraId="37913817"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5B676B41" w14:textId="77777777" w:rsidR="003A2650" w:rsidRPr="00614EF9" w:rsidRDefault="009514E2">
            <w:pPr>
              <w:spacing w:before="20" w:after="20"/>
              <w:rPr>
                <w:lang w:val="fr-FR"/>
              </w:rPr>
            </w:pPr>
            <w:r w:rsidRPr="00614EF9">
              <w:rPr>
                <w:color w:val="FFFFFF"/>
                <w:sz w:val="18"/>
                <w:szCs w:val="18"/>
                <w:lang w:val="fr-FR"/>
              </w:rPr>
              <w:t>Assignataire impacté</w:t>
            </w:r>
          </w:p>
        </w:tc>
        <w:tc>
          <w:tcPr>
            <w:tcW w:w="1600" w:type="dxa"/>
            <w:tcMar>
              <w:top w:w="40" w:type="dxa"/>
              <w:bottom w:w="40" w:type="dxa"/>
            </w:tcMar>
          </w:tcPr>
          <w:p w14:paraId="298A8CB5"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Bande actuelle</w:t>
            </w:r>
          </w:p>
        </w:tc>
        <w:tc>
          <w:tcPr>
            <w:tcW w:w="3200" w:type="dxa"/>
            <w:tcMar>
              <w:top w:w="40" w:type="dxa"/>
              <w:bottom w:w="40" w:type="dxa"/>
            </w:tcMar>
          </w:tcPr>
          <w:p w14:paraId="4344CB67"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Bande de repli proposée</w:t>
            </w:r>
          </w:p>
        </w:tc>
        <w:tc>
          <w:tcPr>
            <w:tcW w:w="2538" w:type="dxa"/>
            <w:tcMar>
              <w:top w:w="40" w:type="dxa"/>
              <w:bottom w:w="40" w:type="dxa"/>
            </w:tcMar>
          </w:tcPr>
          <w:p w14:paraId="413C0B7B"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Conformité au PNAF</w:t>
            </w:r>
          </w:p>
        </w:tc>
      </w:tr>
      <w:tr w:rsidR="003A2650" w:rsidRPr="00614EF9" w14:paraId="602BBD6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59218BFE" w14:textId="77777777" w:rsidR="003A2650" w:rsidRPr="00614EF9" w:rsidRDefault="009514E2">
            <w:pPr>
              <w:spacing w:before="20" w:after="20"/>
              <w:rPr>
                <w:b w:val="0"/>
                <w:bCs w:val="0"/>
                <w:lang w:val="fr-FR"/>
              </w:rPr>
            </w:pPr>
            <w:r w:rsidRPr="00614EF9">
              <w:rPr>
                <w:b w:val="0"/>
                <w:bCs w:val="0"/>
                <w:sz w:val="18"/>
                <w:szCs w:val="18"/>
                <w:lang w:val="fr-FR"/>
              </w:rPr>
              <w:t>Radiodiffusion télévisuelle numérique</w:t>
            </w:r>
          </w:p>
        </w:tc>
        <w:tc>
          <w:tcPr>
            <w:tcW w:w="1600" w:type="dxa"/>
            <w:tcMar>
              <w:top w:w="40" w:type="dxa"/>
              <w:bottom w:w="40" w:type="dxa"/>
            </w:tcMar>
          </w:tcPr>
          <w:p w14:paraId="77046D9B" w14:textId="77777777" w:rsidR="003A2650" w:rsidRPr="00614EF9" w:rsidRDefault="000D1D5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614-694 MHz</w:t>
            </w:r>
          </w:p>
        </w:tc>
        <w:tc>
          <w:tcPr>
            <w:tcW w:w="3200" w:type="dxa"/>
            <w:tcMar>
              <w:top w:w="40" w:type="dxa"/>
              <w:bottom w:w="40" w:type="dxa"/>
            </w:tcMar>
          </w:tcPr>
          <w:p w14:paraId="7FEDC772"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470–614 MHz (canaux UHF 21 à 38), sous réserve d'une modification du Plan pour Bouza et Madama</w:t>
            </w:r>
          </w:p>
        </w:tc>
        <w:tc>
          <w:tcPr>
            <w:tcW w:w="2538" w:type="dxa"/>
            <w:tcMar>
              <w:top w:w="40" w:type="dxa"/>
              <w:bottom w:w="40" w:type="dxa"/>
            </w:tcMar>
          </w:tcPr>
          <w:p w14:paraId="60094F15"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Conforme, portion maintenue en attribution à la radiodiffusion</w:t>
            </w:r>
          </w:p>
        </w:tc>
      </w:tr>
      <w:tr w:rsidR="003A2650" w:rsidRPr="00614EF9" w14:paraId="0CC27684"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090E2463" w14:textId="77777777" w:rsidR="003A2650" w:rsidRPr="00614EF9" w:rsidRDefault="009514E2">
            <w:pPr>
              <w:spacing w:before="20" w:after="20"/>
              <w:rPr>
                <w:b w:val="0"/>
                <w:bCs w:val="0"/>
                <w:lang w:val="fr-FR"/>
              </w:rPr>
            </w:pPr>
            <w:r w:rsidRPr="00614EF9">
              <w:rPr>
                <w:b w:val="0"/>
                <w:bCs w:val="0"/>
                <w:sz w:val="18"/>
                <w:szCs w:val="18"/>
                <w:lang w:val="fr-FR"/>
              </w:rPr>
              <w:t>Radiodiffusion télévisuelle analogique</w:t>
            </w:r>
          </w:p>
        </w:tc>
        <w:tc>
          <w:tcPr>
            <w:tcW w:w="1600" w:type="dxa"/>
            <w:tcMar>
              <w:top w:w="40" w:type="dxa"/>
              <w:bottom w:w="40" w:type="dxa"/>
            </w:tcMar>
          </w:tcPr>
          <w:p w14:paraId="7E96A920"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694–790 MHz</w:t>
            </w:r>
          </w:p>
        </w:tc>
        <w:tc>
          <w:tcPr>
            <w:tcW w:w="3200" w:type="dxa"/>
            <w:tcMar>
              <w:top w:w="40" w:type="dxa"/>
              <w:bottom w:w="40" w:type="dxa"/>
            </w:tcMar>
          </w:tcPr>
          <w:p w14:paraId="74E3358B"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Extinction et report sur les multiplex numériques en 470–614 MHz</w:t>
            </w:r>
          </w:p>
        </w:tc>
        <w:tc>
          <w:tcPr>
            <w:tcW w:w="2538" w:type="dxa"/>
            <w:tcMar>
              <w:top w:w="40" w:type="dxa"/>
              <w:bottom w:w="40" w:type="dxa"/>
            </w:tcMar>
          </w:tcPr>
          <w:p w14:paraId="4B8A1E8A"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Conforme</w:t>
            </w:r>
          </w:p>
        </w:tc>
      </w:tr>
      <w:tr w:rsidR="003A2650" w:rsidRPr="00614EF9" w14:paraId="2BE66BDC"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1B496C63" w14:textId="77777777" w:rsidR="003A2650" w:rsidRPr="00614EF9" w:rsidRDefault="009514E2">
            <w:pPr>
              <w:spacing w:before="20" w:after="20"/>
              <w:rPr>
                <w:b w:val="0"/>
                <w:bCs w:val="0"/>
                <w:lang w:val="fr-FR"/>
              </w:rPr>
            </w:pPr>
            <w:r w:rsidRPr="00614EF9">
              <w:rPr>
                <w:b w:val="0"/>
                <w:bCs w:val="0"/>
                <w:sz w:val="18"/>
                <w:szCs w:val="18"/>
                <w:lang w:val="fr-FR"/>
              </w:rPr>
              <w:t>Réseaux d'accès hertzien fixe des fournisseurs d'accès à Internet</w:t>
            </w:r>
          </w:p>
        </w:tc>
        <w:tc>
          <w:tcPr>
            <w:tcW w:w="1600" w:type="dxa"/>
            <w:tcMar>
              <w:top w:w="40" w:type="dxa"/>
              <w:bottom w:w="40" w:type="dxa"/>
            </w:tcMar>
          </w:tcPr>
          <w:p w14:paraId="6ACFE1E9"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2,4 GHz et 5 GHz</w:t>
            </w:r>
          </w:p>
        </w:tc>
        <w:tc>
          <w:tcPr>
            <w:tcW w:w="3200" w:type="dxa"/>
            <w:tcMar>
              <w:top w:w="40" w:type="dxa"/>
              <w:bottom w:w="40" w:type="dxa"/>
            </w:tcMar>
          </w:tcPr>
          <w:p w14:paraId="441AA094" w14:textId="77777777" w:rsidR="003A2650" w:rsidRPr="00614EF9" w:rsidRDefault="00C1792C">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6 GHz Low, en régime de puissance standard</w:t>
            </w:r>
          </w:p>
        </w:tc>
        <w:tc>
          <w:tcPr>
            <w:tcW w:w="2538" w:type="dxa"/>
            <w:tcMar>
              <w:top w:w="40" w:type="dxa"/>
              <w:bottom w:w="40" w:type="dxa"/>
            </w:tcMar>
          </w:tcPr>
          <w:p w14:paraId="4C8F2E0C"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Conforme, sous réserve des conditions techniques</w:t>
            </w:r>
          </w:p>
        </w:tc>
      </w:tr>
      <w:tr w:rsidR="00C1792C" w:rsidRPr="00614EF9" w14:paraId="667B63AA"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41C4A72C" w14:textId="77777777" w:rsidR="00C1792C" w:rsidRPr="00614EF9" w:rsidRDefault="00C1792C" w:rsidP="00C1792C">
            <w:pPr>
              <w:spacing w:before="20" w:after="20"/>
              <w:rPr>
                <w:b w:val="0"/>
                <w:bCs w:val="0"/>
                <w:lang w:val="fr-FR"/>
              </w:rPr>
            </w:pPr>
            <w:r w:rsidRPr="00614EF9">
              <w:rPr>
                <w:b w:val="0"/>
                <w:bCs w:val="0"/>
                <w:sz w:val="18"/>
                <w:szCs w:val="18"/>
                <w:lang w:val="fr-FR"/>
              </w:rPr>
              <w:t>Réseaux d'accès hertzien fixe hérités</w:t>
            </w:r>
          </w:p>
        </w:tc>
        <w:tc>
          <w:tcPr>
            <w:tcW w:w="1600" w:type="dxa"/>
            <w:tcMar>
              <w:top w:w="40" w:type="dxa"/>
              <w:bottom w:w="40" w:type="dxa"/>
            </w:tcMar>
          </w:tcPr>
          <w:p w14:paraId="304E0B11" w14:textId="77777777" w:rsidR="00C1792C" w:rsidRPr="00614EF9" w:rsidRDefault="00C1792C" w:rsidP="00C1792C">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3 400–3 600 MHz</w:t>
            </w:r>
          </w:p>
        </w:tc>
        <w:tc>
          <w:tcPr>
            <w:tcW w:w="3200" w:type="dxa"/>
            <w:tcMar>
              <w:top w:w="40" w:type="dxa"/>
              <w:bottom w:w="40" w:type="dxa"/>
            </w:tcMar>
          </w:tcPr>
          <w:p w14:paraId="3D0B5AFA" w14:textId="77777777" w:rsidR="00C1792C" w:rsidRPr="00614EF9" w:rsidRDefault="00C1792C" w:rsidP="00C1792C">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6 GHz Low, en régime de puissance standard</w:t>
            </w:r>
          </w:p>
        </w:tc>
        <w:tc>
          <w:tcPr>
            <w:tcW w:w="2538" w:type="dxa"/>
            <w:tcMar>
              <w:top w:w="40" w:type="dxa"/>
              <w:bottom w:w="40" w:type="dxa"/>
            </w:tcMar>
          </w:tcPr>
          <w:p w14:paraId="77ADED74" w14:textId="77777777" w:rsidR="00C1792C" w:rsidRPr="00614EF9" w:rsidRDefault="00C1792C" w:rsidP="00C1792C">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Conforme, sous réserve des conditions techniques</w:t>
            </w:r>
          </w:p>
        </w:tc>
      </w:tr>
      <w:tr w:rsidR="003A2650" w:rsidRPr="00614EF9" w14:paraId="4278066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0" w:type="dxa"/>
            <w:tcMar>
              <w:top w:w="40" w:type="dxa"/>
              <w:bottom w:w="40" w:type="dxa"/>
            </w:tcMar>
          </w:tcPr>
          <w:p w14:paraId="26AB5996" w14:textId="77777777" w:rsidR="003A2650" w:rsidRPr="00614EF9" w:rsidRDefault="009514E2">
            <w:pPr>
              <w:spacing w:before="20" w:after="20"/>
              <w:rPr>
                <w:b w:val="0"/>
                <w:bCs w:val="0"/>
                <w:lang w:val="fr-FR"/>
              </w:rPr>
            </w:pPr>
            <w:r w:rsidRPr="00614EF9">
              <w:rPr>
                <w:b w:val="0"/>
                <w:bCs w:val="0"/>
                <w:sz w:val="18"/>
                <w:szCs w:val="18"/>
                <w:lang w:val="fr-FR"/>
              </w:rPr>
              <w:t>Stations terriennes du service fixe par satellite</w:t>
            </w:r>
          </w:p>
        </w:tc>
        <w:tc>
          <w:tcPr>
            <w:tcW w:w="1600" w:type="dxa"/>
            <w:tcMar>
              <w:top w:w="40" w:type="dxa"/>
              <w:bottom w:w="40" w:type="dxa"/>
            </w:tcMar>
          </w:tcPr>
          <w:p w14:paraId="16988764"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3 700–4 200 MHz</w:t>
            </w:r>
          </w:p>
        </w:tc>
        <w:tc>
          <w:tcPr>
            <w:tcW w:w="3200" w:type="dxa"/>
            <w:tcMar>
              <w:top w:w="40" w:type="dxa"/>
              <w:bottom w:w="40" w:type="dxa"/>
            </w:tcMar>
          </w:tcPr>
          <w:p w14:paraId="748ECE22"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Maintien en l'état, assorti de mesures de protection contre les émissions en canal adjacent ; aucun report de la réception n'est nécessaire, la portion réaffectée s'arrêtant à 3 600 MHz </w:t>
            </w:r>
          </w:p>
        </w:tc>
        <w:tc>
          <w:tcPr>
            <w:tcW w:w="2538" w:type="dxa"/>
            <w:tcMar>
              <w:top w:w="40" w:type="dxa"/>
              <w:bottom w:w="40" w:type="dxa"/>
            </w:tcMar>
          </w:tcPr>
          <w:p w14:paraId="2586E125"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Conforme</w:t>
            </w:r>
          </w:p>
        </w:tc>
      </w:tr>
    </w:tbl>
    <w:p w14:paraId="119AA5F1" w14:textId="77777777" w:rsidR="00923C2A" w:rsidRPr="00614EF9" w:rsidRDefault="00923C2A" w:rsidP="00923C2A">
      <w:pPr>
        <w:pStyle w:val="Lgende"/>
        <w:spacing w:before="120" w:after="120"/>
        <w:rPr>
          <w:color w:val="000000" w:themeColor="text1"/>
          <w:lang w:val="fr-FR"/>
        </w:rPr>
      </w:pPr>
      <w:bookmarkStart w:id="123" w:name="_Ref240440188"/>
      <w:bookmarkStart w:id="124" w:name="_Toc240614526"/>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12</w:t>
      </w:r>
      <w:r w:rsidRPr="00614EF9">
        <w:rPr>
          <w:color w:val="000000" w:themeColor="text1"/>
          <w:lang w:val="fr-FR"/>
        </w:rPr>
        <w:fldChar w:fldCharType="end"/>
      </w:r>
      <w:r w:rsidRPr="00614EF9">
        <w:rPr>
          <w:color w:val="000000" w:themeColor="text1"/>
          <w:lang w:val="fr-FR"/>
        </w:rPr>
        <w:t>: Cartographie de la conformité des bandes candidates</w:t>
      </w:r>
      <w:bookmarkEnd w:id="123"/>
      <w:bookmarkEnd w:id="124"/>
    </w:p>
    <w:p w14:paraId="74DCC013" w14:textId="40C387C6" w:rsidR="003A2650" w:rsidRPr="00614EF9" w:rsidRDefault="001735E7">
      <w:pPr>
        <w:spacing w:before="60"/>
        <w:rPr>
          <w:lang w:val="fr-FR"/>
        </w:rPr>
      </w:pPr>
      <w:r w:rsidRPr="00614EF9">
        <w:rPr>
          <w:lang w:val="fr-FR"/>
        </w:rPr>
        <w:t xml:space="preserve">Pour le cas spécifique de la bande 600 MHz, il est nécessaire d’examiner l’impact d’un changement d’attribution sur la planification GE06 du Niger. Cet examen est détaillé par le </w:t>
      </w:r>
      <w:r w:rsidRPr="00614EF9">
        <w:rPr>
          <w:lang w:val="fr-FR"/>
        </w:rPr>
        <w:fldChar w:fldCharType="begin"/>
      </w:r>
      <w:r w:rsidRPr="00614EF9">
        <w:rPr>
          <w:lang w:val="fr-FR"/>
        </w:rPr>
        <w:instrText xml:space="preserve"> REF _Ref240440987 \h  \* MERGEFORMAT </w:instrText>
      </w:r>
      <w:r w:rsidRPr="00614EF9">
        <w:rPr>
          <w:lang w:val="fr-FR"/>
        </w:rPr>
      </w:r>
      <w:r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13</w:t>
      </w:r>
      <w:r w:rsidRPr="00614EF9">
        <w:rPr>
          <w:lang w:val="fr-FR"/>
        </w:rPr>
        <w:fldChar w:fldCharType="end"/>
      </w:r>
      <w:r w:rsidRPr="00614EF9">
        <w:rPr>
          <w:lang w:val="fr-FR"/>
        </w:rPr>
        <w:t xml:space="preserve"> suivant.</w:t>
      </w:r>
    </w:p>
    <w:tbl>
      <w:tblPr>
        <w:tblStyle w:val="TableauGrille4-Accentuation3"/>
        <w:tblW w:w="9638" w:type="dxa"/>
        <w:jc w:val="center"/>
        <w:tblLayout w:type="fixed"/>
        <w:tblLook w:val="04A0" w:firstRow="1" w:lastRow="0" w:firstColumn="1" w:lastColumn="0" w:noHBand="0" w:noVBand="1"/>
      </w:tblPr>
      <w:tblGrid>
        <w:gridCol w:w="3256"/>
        <w:gridCol w:w="2544"/>
        <w:gridCol w:w="2417"/>
        <w:gridCol w:w="1421"/>
      </w:tblGrid>
      <w:tr w:rsidR="003A2650" w:rsidRPr="00614EF9" w14:paraId="7997EDEA" w14:textId="77777777" w:rsidTr="001735E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256" w:type="dxa"/>
            <w:tcMar>
              <w:top w:w="40" w:type="dxa"/>
              <w:bottom w:w="40" w:type="dxa"/>
            </w:tcMar>
          </w:tcPr>
          <w:p w14:paraId="53C19B94" w14:textId="77777777" w:rsidR="003A2650" w:rsidRPr="00614EF9" w:rsidRDefault="009514E2">
            <w:pPr>
              <w:spacing w:before="20" w:after="20"/>
              <w:rPr>
                <w:lang w:val="fr-FR"/>
              </w:rPr>
            </w:pPr>
            <w:r w:rsidRPr="00614EF9">
              <w:rPr>
                <w:color w:val="FFFFFF"/>
                <w:sz w:val="18"/>
                <w:szCs w:val="18"/>
                <w:lang w:val="fr-FR"/>
              </w:rPr>
              <w:t>Indicateur</w:t>
            </w:r>
          </w:p>
        </w:tc>
        <w:tc>
          <w:tcPr>
            <w:tcW w:w="2544" w:type="dxa"/>
            <w:tcMar>
              <w:top w:w="40" w:type="dxa"/>
              <w:bottom w:w="40" w:type="dxa"/>
            </w:tcMar>
          </w:tcPr>
          <w:p w14:paraId="457A4E36"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Plan complet 470–694 MHz</w:t>
            </w:r>
          </w:p>
        </w:tc>
        <w:tc>
          <w:tcPr>
            <w:tcW w:w="2417" w:type="dxa"/>
            <w:tcMar>
              <w:top w:w="40" w:type="dxa"/>
              <w:bottom w:w="40" w:type="dxa"/>
            </w:tcMar>
          </w:tcPr>
          <w:p w14:paraId="00175878"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Plan réduit 470–614 MHz</w:t>
            </w:r>
          </w:p>
        </w:tc>
        <w:tc>
          <w:tcPr>
            <w:tcW w:w="1421" w:type="dxa"/>
            <w:tcMar>
              <w:top w:w="40" w:type="dxa"/>
              <w:bottom w:w="40" w:type="dxa"/>
            </w:tcMar>
          </w:tcPr>
          <w:p w14:paraId="1AA9A7D2"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Variation</w:t>
            </w:r>
          </w:p>
        </w:tc>
      </w:tr>
      <w:tr w:rsidR="003A2650" w:rsidRPr="00614EF9" w14:paraId="687AB97F" w14:textId="77777777" w:rsidTr="001735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56" w:type="dxa"/>
            <w:tcMar>
              <w:top w:w="40" w:type="dxa"/>
              <w:bottom w:w="40" w:type="dxa"/>
            </w:tcMar>
          </w:tcPr>
          <w:p w14:paraId="548F3491" w14:textId="77777777" w:rsidR="003A2650" w:rsidRPr="00614EF9" w:rsidRDefault="009514E2">
            <w:pPr>
              <w:spacing w:before="20" w:after="20"/>
              <w:rPr>
                <w:b w:val="0"/>
                <w:bCs w:val="0"/>
                <w:lang w:val="fr-FR"/>
              </w:rPr>
            </w:pPr>
            <w:r w:rsidRPr="00614EF9">
              <w:rPr>
                <w:b w:val="0"/>
                <w:bCs w:val="0"/>
                <w:sz w:val="18"/>
                <w:szCs w:val="18"/>
                <w:lang w:val="fr-FR"/>
              </w:rPr>
              <w:t>Allotissements de télévision en ondes décimétriques</w:t>
            </w:r>
          </w:p>
        </w:tc>
        <w:tc>
          <w:tcPr>
            <w:tcW w:w="2544" w:type="dxa"/>
            <w:tcMar>
              <w:top w:w="40" w:type="dxa"/>
              <w:bottom w:w="40" w:type="dxa"/>
            </w:tcMar>
          </w:tcPr>
          <w:p w14:paraId="14E09165"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271</w:t>
            </w:r>
          </w:p>
        </w:tc>
        <w:tc>
          <w:tcPr>
            <w:tcW w:w="2417" w:type="dxa"/>
            <w:tcMar>
              <w:top w:w="40" w:type="dxa"/>
              <w:bottom w:w="40" w:type="dxa"/>
            </w:tcMar>
          </w:tcPr>
          <w:p w14:paraId="063686B1"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171</w:t>
            </w:r>
          </w:p>
        </w:tc>
        <w:tc>
          <w:tcPr>
            <w:tcW w:w="1421" w:type="dxa"/>
            <w:tcMar>
              <w:top w:w="40" w:type="dxa"/>
              <w:bottom w:w="40" w:type="dxa"/>
            </w:tcMar>
          </w:tcPr>
          <w:p w14:paraId="74D9F436"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− 100, soit − 37 %</w:t>
            </w:r>
          </w:p>
        </w:tc>
      </w:tr>
      <w:tr w:rsidR="003A2650" w:rsidRPr="00614EF9" w14:paraId="6F43F452" w14:textId="77777777" w:rsidTr="001735E7">
        <w:trPr>
          <w:jc w:val="center"/>
        </w:trPr>
        <w:tc>
          <w:tcPr>
            <w:cnfStyle w:val="001000000000" w:firstRow="0" w:lastRow="0" w:firstColumn="1" w:lastColumn="0" w:oddVBand="0" w:evenVBand="0" w:oddHBand="0" w:evenHBand="0" w:firstRowFirstColumn="0" w:firstRowLastColumn="0" w:lastRowFirstColumn="0" w:lastRowLastColumn="0"/>
            <w:tcW w:w="3256" w:type="dxa"/>
            <w:tcMar>
              <w:top w:w="40" w:type="dxa"/>
              <w:bottom w:w="40" w:type="dxa"/>
            </w:tcMar>
          </w:tcPr>
          <w:p w14:paraId="472B1CF8" w14:textId="77777777" w:rsidR="003A2650" w:rsidRPr="00614EF9" w:rsidRDefault="009514E2">
            <w:pPr>
              <w:spacing w:before="20" w:after="20"/>
              <w:rPr>
                <w:b w:val="0"/>
                <w:bCs w:val="0"/>
                <w:lang w:val="fr-FR"/>
              </w:rPr>
            </w:pPr>
            <w:r w:rsidRPr="00614EF9">
              <w:rPr>
                <w:b w:val="0"/>
                <w:bCs w:val="0"/>
                <w:sz w:val="18"/>
                <w:szCs w:val="18"/>
                <w:lang w:val="fr-FR"/>
              </w:rPr>
              <w:t>Localités sans aucune couche</w:t>
            </w:r>
          </w:p>
        </w:tc>
        <w:tc>
          <w:tcPr>
            <w:tcW w:w="2544" w:type="dxa"/>
            <w:tcMar>
              <w:top w:w="40" w:type="dxa"/>
              <w:bottom w:w="40" w:type="dxa"/>
            </w:tcMar>
          </w:tcPr>
          <w:p w14:paraId="5C033C25" w14:textId="77777777" w:rsidR="003A2650"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0</w:t>
            </w:r>
          </w:p>
        </w:tc>
        <w:tc>
          <w:tcPr>
            <w:tcW w:w="2417" w:type="dxa"/>
            <w:tcMar>
              <w:top w:w="40" w:type="dxa"/>
              <w:bottom w:w="40" w:type="dxa"/>
            </w:tcMar>
          </w:tcPr>
          <w:p w14:paraId="0327406C" w14:textId="77777777" w:rsidR="003A2650"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w:t>
            </w:r>
          </w:p>
        </w:tc>
        <w:tc>
          <w:tcPr>
            <w:tcW w:w="1421" w:type="dxa"/>
            <w:tcMar>
              <w:top w:w="40" w:type="dxa"/>
              <w:bottom w:w="40" w:type="dxa"/>
            </w:tcMar>
          </w:tcPr>
          <w:p w14:paraId="13DF0EB5" w14:textId="77777777" w:rsidR="003A2650" w:rsidRPr="00614EF9" w:rsidRDefault="009514E2">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+ 3</w:t>
            </w:r>
          </w:p>
        </w:tc>
      </w:tr>
      <w:tr w:rsidR="003A2650" w:rsidRPr="00614EF9" w14:paraId="10E97944" w14:textId="77777777" w:rsidTr="001735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56" w:type="dxa"/>
            <w:tcMar>
              <w:top w:w="40" w:type="dxa"/>
              <w:bottom w:w="40" w:type="dxa"/>
            </w:tcMar>
          </w:tcPr>
          <w:p w14:paraId="1D00D1F8" w14:textId="77777777" w:rsidR="003A2650" w:rsidRPr="00614EF9" w:rsidRDefault="009514E2">
            <w:pPr>
              <w:spacing w:before="20" w:after="20"/>
              <w:rPr>
                <w:b w:val="0"/>
                <w:bCs w:val="0"/>
                <w:lang w:val="fr-FR"/>
              </w:rPr>
            </w:pPr>
            <w:r w:rsidRPr="00614EF9">
              <w:rPr>
                <w:b w:val="0"/>
                <w:bCs w:val="0"/>
                <w:sz w:val="18"/>
                <w:szCs w:val="18"/>
                <w:lang w:val="fr-FR"/>
              </w:rPr>
              <w:t>Localités réduites à une couche unique</w:t>
            </w:r>
          </w:p>
        </w:tc>
        <w:tc>
          <w:tcPr>
            <w:tcW w:w="2544" w:type="dxa"/>
            <w:tcMar>
              <w:top w:w="40" w:type="dxa"/>
              <w:bottom w:w="40" w:type="dxa"/>
            </w:tcMar>
          </w:tcPr>
          <w:p w14:paraId="4383EB63"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w:t>
            </w:r>
          </w:p>
        </w:tc>
        <w:tc>
          <w:tcPr>
            <w:tcW w:w="2417" w:type="dxa"/>
            <w:tcMar>
              <w:top w:w="40" w:type="dxa"/>
              <w:bottom w:w="40" w:type="dxa"/>
            </w:tcMar>
          </w:tcPr>
          <w:p w14:paraId="36EA1C11"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13</w:t>
            </w:r>
          </w:p>
        </w:tc>
        <w:tc>
          <w:tcPr>
            <w:tcW w:w="1421" w:type="dxa"/>
            <w:tcMar>
              <w:top w:w="40" w:type="dxa"/>
              <w:bottom w:w="40" w:type="dxa"/>
            </w:tcMar>
          </w:tcPr>
          <w:p w14:paraId="4E438F9E" w14:textId="77777777" w:rsidR="003A2650" w:rsidRPr="00614EF9" w:rsidRDefault="009514E2">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+ 11</w:t>
            </w:r>
          </w:p>
        </w:tc>
      </w:tr>
    </w:tbl>
    <w:p w14:paraId="67DDE983" w14:textId="77777777" w:rsidR="001735E7" w:rsidRPr="00614EF9" w:rsidRDefault="001735E7" w:rsidP="001735E7">
      <w:pPr>
        <w:pStyle w:val="Lgende"/>
        <w:spacing w:before="120" w:after="120"/>
        <w:rPr>
          <w:color w:val="000000" w:themeColor="text1"/>
          <w:lang w:val="fr-FR"/>
        </w:rPr>
      </w:pPr>
      <w:bookmarkStart w:id="125" w:name="_Ref240440987"/>
      <w:bookmarkStart w:id="126" w:name="_Toc240614527"/>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13</w:t>
      </w:r>
      <w:r w:rsidRPr="00614EF9">
        <w:rPr>
          <w:color w:val="000000" w:themeColor="text1"/>
          <w:lang w:val="fr-FR"/>
        </w:rPr>
        <w:fldChar w:fldCharType="end"/>
      </w:r>
      <w:r w:rsidRPr="00614EF9">
        <w:rPr>
          <w:color w:val="000000" w:themeColor="text1"/>
          <w:lang w:val="fr-FR"/>
        </w:rPr>
        <w:t>: Impact de l’attribution de la bande 600 MHz au mobile sur la planification GE06 du Niger</w:t>
      </w:r>
      <w:bookmarkEnd w:id="125"/>
      <w:bookmarkEnd w:id="126"/>
    </w:p>
    <w:p w14:paraId="47542F31" w14:textId="77777777" w:rsidR="001735E7" w:rsidRPr="00614EF9" w:rsidRDefault="001735E7" w:rsidP="001735E7">
      <w:pPr>
        <w:spacing w:before="60"/>
        <w:rPr>
          <w:lang w:val="fr-FR"/>
        </w:rPr>
      </w:pPr>
      <w:r w:rsidRPr="00614EF9">
        <w:rPr>
          <w:lang w:val="fr-FR"/>
        </w:rPr>
        <w:t>Il en ressort que trois localités (</w:t>
      </w:r>
      <w:r w:rsidRPr="00614EF9">
        <w:rPr>
          <w:i/>
          <w:iCs/>
          <w:lang w:val="fr-FR"/>
        </w:rPr>
        <w:t xml:space="preserve">Bouza, </w:t>
      </w:r>
      <w:proofErr w:type="spellStart"/>
      <w:r w:rsidRPr="00614EF9">
        <w:rPr>
          <w:i/>
          <w:iCs/>
          <w:lang w:val="fr-FR"/>
        </w:rPr>
        <w:t>Ekrafane</w:t>
      </w:r>
      <w:proofErr w:type="spellEnd"/>
      <w:r w:rsidRPr="00614EF9">
        <w:rPr>
          <w:i/>
          <w:iCs/>
          <w:lang w:val="fr-FR"/>
        </w:rPr>
        <w:t xml:space="preserve"> et Madama</w:t>
      </w:r>
      <w:r w:rsidRPr="00614EF9">
        <w:rPr>
          <w:lang w:val="fr-FR"/>
        </w:rPr>
        <w:t>) seraient dépourvues de canal d’accueil et que treize localités (</w:t>
      </w:r>
      <w:r w:rsidRPr="00614EF9">
        <w:rPr>
          <w:i/>
          <w:iCs/>
          <w:lang w:val="fr-FR"/>
        </w:rPr>
        <w:t xml:space="preserve">Ayorou, </w:t>
      </w:r>
      <w:proofErr w:type="spellStart"/>
      <w:r w:rsidRPr="00614EF9">
        <w:rPr>
          <w:i/>
          <w:iCs/>
          <w:lang w:val="fr-FR"/>
        </w:rPr>
        <w:t>Baleyara</w:t>
      </w:r>
      <w:proofErr w:type="spellEnd"/>
      <w:r w:rsidRPr="00614EF9">
        <w:rPr>
          <w:i/>
          <w:iCs/>
          <w:lang w:val="fr-FR"/>
        </w:rPr>
        <w:t xml:space="preserve">, Dogondoutchi, </w:t>
      </w:r>
      <w:proofErr w:type="spellStart"/>
      <w:r w:rsidRPr="00614EF9">
        <w:rPr>
          <w:i/>
          <w:iCs/>
          <w:lang w:val="fr-FR"/>
        </w:rPr>
        <w:t>Emi</w:t>
      </w:r>
      <w:proofErr w:type="spellEnd"/>
      <w:r w:rsidRPr="00614EF9">
        <w:rPr>
          <w:i/>
          <w:iCs/>
          <w:lang w:val="fr-FR"/>
        </w:rPr>
        <w:t xml:space="preserve"> Fraha, Gaya, </w:t>
      </w:r>
      <w:proofErr w:type="spellStart"/>
      <w:r w:rsidRPr="00614EF9">
        <w:rPr>
          <w:i/>
          <w:iCs/>
          <w:lang w:val="fr-FR"/>
        </w:rPr>
        <w:t>Lamorde</w:t>
      </w:r>
      <w:proofErr w:type="spellEnd"/>
      <w:r w:rsidRPr="00614EF9">
        <w:rPr>
          <w:i/>
          <w:iCs/>
          <w:lang w:val="fr-FR"/>
        </w:rPr>
        <w:t xml:space="preserve"> Torodi, </w:t>
      </w:r>
      <w:proofErr w:type="spellStart"/>
      <w:r w:rsidRPr="00614EF9">
        <w:rPr>
          <w:i/>
          <w:iCs/>
          <w:lang w:val="fr-FR"/>
        </w:rPr>
        <w:t>Mallaoua</w:t>
      </w:r>
      <w:proofErr w:type="spellEnd"/>
      <w:r w:rsidRPr="00614EF9">
        <w:rPr>
          <w:i/>
          <w:iCs/>
          <w:lang w:val="fr-FR"/>
        </w:rPr>
        <w:t xml:space="preserve">, Maradi, Nguigmi, Niamey, Tassara, </w:t>
      </w:r>
      <w:proofErr w:type="spellStart"/>
      <w:r w:rsidRPr="00614EF9">
        <w:rPr>
          <w:i/>
          <w:iCs/>
          <w:lang w:val="fr-FR"/>
        </w:rPr>
        <w:t>Tillabery</w:t>
      </w:r>
      <w:proofErr w:type="spellEnd"/>
      <w:r w:rsidRPr="00614EF9">
        <w:rPr>
          <w:i/>
          <w:iCs/>
          <w:lang w:val="fr-FR"/>
        </w:rPr>
        <w:t xml:space="preserve"> et Tin Gara</w:t>
      </w:r>
      <w:r w:rsidRPr="00614EF9">
        <w:rPr>
          <w:lang w:val="fr-FR"/>
        </w:rPr>
        <w:t>) seraient ramenées à une seule couche.</w:t>
      </w:r>
    </w:p>
    <w:p w14:paraId="03A33429" w14:textId="3D83548B" w:rsidR="00D6665F" w:rsidRPr="00614EF9" w:rsidRDefault="00D6665F" w:rsidP="00D6665F">
      <w:pPr>
        <w:spacing w:before="60"/>
        <w:rPr>
          <w:lang w:val="fr-FR"/>
        </w:rPr>
      </w:pPr>
      <w:r w:rsidRPr="00614EF9">
        <w:rPr>
          <w:lang w:val="fr-FR"/>
        </w:rPr>
        <w:t xml:space="preserve">Le traitement de ces deux cas de figure ne relève pas d'une </w:t>
      </w:r>
      <w:r w:rsidR="00CA49C1" w:rsidRPr="00614EF9">
        <w:rPr>
          <w:lang w:val="fr-FR"/>
        </w:rPr>
        <w:t>replanification</w:t>
      </w:r>
      <w:r w:rsidRPr="00614EF9">
        <w:rPr>
          <w:lang w:val="fr-FR"/>
        </w:rPr>
        <w:t xml:space="preserve"> mais d'une procédure de modification du Plan au titre de l'article 4 de l'Accord GE06, subordonnée à l'accord des administrations affectées.</w:t>
      </w:r>
    </w:p>
    <w:p w14:paraId="2714B5B4" w14:textId="77777777" w:rsidR="00D6665F" w:rsidRPr="00614EF9" w:rsidRDefault="00D6665F" w:rsidP="00D6665F">
      <w:pPr>
        <w:spacing w:before="60"/>
        <w:rPr>
          <w:lang w:val="fr-FR"/>
        </w:rPr>
      </w:pPr>
      <w:r w:rsidRPr="00614EF9">
        <w:rPr>
          <w:lang w:val="fr-FR"/>
        </w:rPr>
        <w:lastRenderedPageBreak/>
        <w:t>Par ailleurs, le cas du canal 38 (606–614 MHz) mérite une attention particulière. Ce canal est le deuxième canal le plus utilisé du plan réduit avec treize localités. Sa protection contre les émissions des réseaux mobiles doit être analysée.</w:t>
      </w:r>
    </w:p>
    <w:p w14:paraId="608B85B1" w14:textId="77777777" w:rsidR="00D11D01" w:rsidRPr="00614EF9" w:rsidRDefault="000945C5">
      <w:pPr>
        <w:spacing w:before="60"/>
        <w:rPr>
          <w:lang w:val="fr-FR"/>
        </w:rPr>
      </w:pPr>
      <w:r w:rsidRPr="00614EF9">
        <w:rPr>
          <w:lang w:val="fr-FR"/>
        </w:rPr>
        <w:t>Les 46 stations terriennes recensées reçoivent à partir de 3 600 MHz pour les unes et de 3 700 MHz pour les autres, de sorte que toute portion réaffectée au-delà de 3 600 MHz recouvrirait des réceptions en exploitation. Le gain spectral d'une portion plus large serait donc annulé par les zones de coordination. La portion 3 400-3 600 MHz offre 200 MHz immédiatement exploitables, dont la libération se réduit à la migration de deux points d'accès hertzien fixe.</w:t>
      </w:r>
    </w:p>
    <w:p w14:paraId="6394C631" w14:textId="77777777" w:rsidR="007C757E" w:rsidRPr="00614EF9" w:rsidRDefault="009514E2" w:rsidP="007D4BE4">
      <w:pPr>
        <w:pStyle w:val="Titre2"/>
        <w:rPr>
          <w:lang w:val="fr-FR"/>
        </w:rPr>
      </w:pPr>
      <w:bookmarkStart w:id="127" w:name="_Toc232062297"/>
      <w:bookmarkStart w:id="128" w:name="_Toc236636374"/>
      <w:bookmarkStart w:id="129" w:name="_Toc240614390"/>
      <w:r w:rsidRPr="00614EF9">
        <w:rPr>
          <w:lang w:val="fr-FR"/>
        </w:rPr>
        <w:t>Disponibilité des équipements</w:t>
      </w:r>
      <w:bookmarkEnd w:id="127"/>
      <w:bookmarkEnd w:id="128"/>
      <w:bookmarkEnd w:id="129"/>
    </w:p>
    <w:p w14:paraId="5D843F68" w14:textId="77777777" w:rsidR="00E02606" w:rsidRPr="00614EF9" w:rsidRDefault="009514E2" w:rsidP="0066730D">
      <w:pPr>
        <w:pStyle w:val="Titre3"/>
        <w:rPr>
          <w:lang w:val="fr-FR"/>
        </w:rPr>
      </w:pPr>
      <w:bookmarkStart w:id="130" w:name="_Toc240614391"/>
      <w:r w:rsidRPr="00614EF9">
        <w:rPr>
          <w:lang w:val="fr-FR"/>
        </w:rPr>
        <w:t>Volet 600 MHz</w:t>
      </w:r>
      <w:bookmarkEnd w:id="130"/>
    </w:p>
    <w:p w14:paraId="3581716B" w14:textId="77777777" w:rsidR="003A2650" w:rsidRPr="00614EF9" w:rsidRDefault="00043CC8">
      <w:pPr>
        <w:spacing w:before="60"/>
        <w:rPr>
          <w:lang w:val="fr-FR"/>
        </w:rPr>
      </w:pPr>
      <w:r w:rsidRPr="00614EF9">
        <w:rPr>
          <w:lang w:val="fr-FR"/>
        </w:rPr>
        <w:t>Cette bande est d’adoption récente : la maturité de son écosystème n’est pas établie. La disponibilité industrielle conditionne le calendrier ; elle sera vérifiée auprès des opérateurs mobiles et des équipementiers.</w:t>
      </w:r>
    </w:p>
    <w:p w14:paraId="41E8DA48" w14:textId="77777777" w:rsidR="00E02606" w:rsidRPr="00614EF9" w:rsidRDefault="009514E2" w:rsidP="0066730D">
      <w:pPr>
        <w:pStyle w:val="Titre3"/>
        <w:rPr>
          <w:lang w:val="fr-FR"/>
        </w:rPr>
      </w:pPr>
      <w:bookmarkStart w:id="131" w:name="_Toc240614392"/>
      <w:r w:rsidRPr="00614EF9">
        <w:rPr>
          <w:lang w:val="fr-FR"/>
        </w:rPr>
        <w:t>Volet 700 MHz</w:t>
      </w:r>
      <w:bookmarkEnd w:id="131"/>
    </w:p>
    <w:p w14:paraId="1D0ACFC7" w14:textId="77777777" w:rsidR="003A2650" w:rsidRPr="00614EF9" w:rsidRDefault="00043CC8">
      <w:pPr>
        <w:spacing w:before="60"/>
        <w:rPr>
          <w:lang w:val="fr-FR"/>
        </w:rPr>
      </w:pPr>
      <w:r w:rsidRPr="00614EF9">
        <w:rPr>
          <w:lang w:val="fr-FR"/>
        </w:rPr>
        <w:t>L'écosystème est mature et largement déployé. Le scénario d'extinction de la diffusion analogique dispense au demeurant de l'acquisition d'équipements d'émission.</w:t>
      </w:r>
    </w:p>
    <w:p w14:paraId="42D1D40B" w14:textId="77777777" w:rsidR="00E02606" w:rsidRPr="00614EF9" w:rsidRDefault="006E1AF3" w:rsidP="0066730D">
      <w:pPr>
        <w:pStyle w:val="Titre3"/>
        <w:rPr>
          <w:lang w:val="fr-FR"/>
        </w:rPr>
      </w:pPr>
      <w:bookmarkStart w:id="132" w:name="_Toc240614393"/>
      <w:r w:rsidRPr="00614EF9">
        <w:rPr>
          <w:lang w:val="fr-FR"/>
        </w:rPr>
        <w:t>Volet 5 GHz</w:t>
      </w:r>
      <w:bookmarkEnd w:id="132"/>
    </w:p>
    <w:p w14:paraId="06C0802B" w14:textId="77777777" w:rsidR="00043CC8" w:rsidRPr="00614EF9" w:rsidRDefault="00043CC8" w:rsidP="006E1AF3">
      <w:pPr>
        <w:spacing w:before="60"/>
        <w:rPr>
          <w:lang w:val="fr-FR"/>
        </w:rPr>
      </w:pPr>
      <w:r w:rsidRPr="00614EF9">
        <w:rPr>
          <w:lang w:val="fr-FR"/>
        </w:rPr>
        <w:t xml:space="preserve">Les FAI ont identifié le fournisseur </w:t>
      </w:r>
      <w:r w:rsidRPr="00614EF9">
        <w:rPr>
          <w:i/>
          <w:iCs/>
          <w:lang w:val="fr-FR"/>
        </w:rPr>
        <w:t>Cambium Networks</w:t>
      </w:r>
      <w:r w:rsidRPr="00614EF9">
        <w:rPr>
          <w:lang w:val="fr-FR"/>
        </w:rPr>
        <w:t xml:space="preserve">, avec la plateforme </w:t>
      </w:r>
      <w:proofErr w:type="spellStart"/>
      <w:r w:rsidRPr="00614EF9">
        <w:rPr>
          <w:i/>
          <w:iCs/>
          <w:lang w:val="fr-FR"/>
        </w:rPr>
        <w:t>ePMP</w:t>
      </w:r>
      <w:proofErr w:type="spellEnd"/>
      <w:r w:rsidRPr="00614EF9">
        <w:rPr>
          <w:i/>
          <w:iCs/>
          <w:lang w:val="fr-FR"/>
        </w:rPr>
        <w:t xml:space="preserve"> 4600</w:t>
      </w:r>
      <w:r w:rsidRPr="00614EF9">
        <w:rPr>
          <w:lang w:val="fr-FR"/>
        </w:rPr>
        <w:t xml:space="preserve"> et des terminaux de la gamme </w:t>
      </w:r>
      <w:r w:rsidRPr="00614EF9">
        <w:rPr>
          <w:i/>
          <w:iCs/>
          <w:lang w:val="fr-FR"/>
        </w:rPr>
        <w:t>Force</w:t>
      </w:r>
      <w:r w:rsidRPr="00614EF9">
        <w:rPr>
          <w:lang w:val="fr-FR"/>
        </w:rPr>
        <w:t>. Cette identification ne vaut toutefois pas constat de disponibilité : un opérateur exerçant également une activité d'accès hertzien fixe déclare ces équipements indisponibles, et un fournisseur annonce un délai d'approvisionnement d'au moins six mois. La maturité de l'offre industrielle doit donc être vérifiée auprès des équipementiers avant toute notification.</w:t>
      </w:r>
    </w:p>
    <w:p w14:paraId="2201A0C1" w14:textId="31E70F0E" w:rsidR="0080544A" w:rsidRPr="00614EF9" w:rsidRDefault="00CA49C1" w:rsidP="006E1AF3">
      <w:pPr>
        <w:spacing w:before="60"/>
        <w:rPr>
          <w:lang w:val="fr-FR"/>
        </w:rPr>
      </w:pPr>
      <w:r w:rsidRPr="00614EF9">
        <w:rPr>
          <w:lang w:val="fr-FR"/>
        </w:rPr>
        <w:t>Quant aux conditions techniques d’exploitation, l</w:t>
      </w:r>
      <w:r w:rsidR="0080544A" w:rsidRPr="00614EF9">
        <w:rPr>
          <w:lang w:val="fr-FR"/>
        </w:rPr>
        <w:t>a Dynamic Spectrum Alliance recommande de recourir à la coordination automatisée comme mécanisme de coexistence et de fonder les conditions techniques nationales sur les études de compatibilité de la CEPT et sur le cadre réglementaire européen applicable la bande 6 GHz</w:t>
      </w:r>
      <w:r w:rsidR="00BB1399" w:rsidRPr="00614EF9">
        <w:rPr>
          <w:lang w:val="fr-FR"/>
        </w:rPr>
        <w:t xml:space="preserve"> Low</w:t>
      </w:r>
      <w:r w:rsidR="0080544A" w:rsidRPr="00614EF9">
        <w:rPr>
          <w:lang w:val="fr-FR"/>
        </w:rPr>
        <w:t>.</w:t>
      </w:r>
    </w:p>
    <w:p w14:paraId="3380C941" w14:textId="77777777" w:rsidR="00E02606" w:rsidRPr="00614EF9" w:rsidRDefault="009514E2" w:rsidP="0066730D">
      <w:pPr>
        <w:pStyle w:val="Titre3"/>
        <w:rPr>
          <w:lang w:val="fr-FR"/>
        </w:rPr>
      </w:pPr>
      <w:bookmarkStart w:id="133" w:name="_Toc240614394"/>
      <w:r w:rsidRPr="00614EF9">
        <w:rPr>
          <w:lang w:val="fr-FR"/>
        </w:rPr>
        <w:t>Volet 3,5 GHz</w:t>
      </w:r>
      <w:bookmarkEnd w:id="133"/>
    </w:p>
    <w:p w14:paraId="6EB5A4D7" w14:textId="77777777" w:rsidR="000945C5" w:rsidRPr="00614EF9" w:rsidRDefault="009514E2" w:rsidP="000945C5">
      <w:pPr>
        <w:spacing w:before="60"/>
        <w:rPr>
          <w:lang w:val="fr-FR"/>
        </w:rPr>
      </w:pPr>
      <w:r w:rsidRPr="00614EF9">
        <w:rPr>
          <w:lang w:val="fr-FR"/>
        </w:rPr>
        <w:t>Les équipements de réseau et les terminaux sont disponibles et harmonisés. Les mesures de protection des stations terriennes (</w:t>
      </w:r>
      <w:r w:rsidRPr="00614EF9">
        <w:rPr>
          <w:i/>
          <w:iCs/>
          <w:lang w:val="fr-FR"/>
        </w:rPr>
        <w:t>filtres passe-bande et réjecteurs installés en amont des convertisseurs à faible bruit</w:t>
      </w:r>
      <w:r w:rsidRPr="00614EF9">
        <w:rPr>
          <w:lang w:val="fr-FR"/>
        </w:rPr>
        <w:t xml:space="preserve">) relèvent d'une offre courante. </w:t>
      </w:r>
      <w:bookmarkStart w:id="134" w:name="_Toc232062298"/>
      <w:bookmarkStart w:id="135" w:name="_Toc236636375"/>
    </w:p>
    <w:p w14:paraId="4981D154" w14:textId="77777777" w:rsidR="007C757E" w:rsidRPr="00614EF9" w:rsidRDefault="009514E2" w:rsidP="007D4BE4">
      <w:pPr>
        <w:pStyle w:val="Titre2"/>
        <w:rPr>
          <w:lang w:val="fr-FR"/>
        </w:rPr>
      </w:pPr>
      <w:bookmarkStart w:id="136" w:name="_Toc240614395"/>
      <w:r w:rsidRPr="00614EF9">
        <w:rPr>
          <w:lang w:val="fr-FR"/>
        </w:rPr>
        <w:t>Coordination aux frontières et notification à l’UIT</w:t>
      </w:r>
      <w:bookmarkEnd w:id="134"/>
      <w:bookmarkEnd w:id="135"/>
      <w:bookmarkEnd w:id="136"/>
    </w:p>
    <w:p w14:paraId="14485BB6" w14:textId="77777777" w:rsidR="002B146B" w:rsidRPr="00614EF9" w:rsidRDefault="002B146B" w:rsidP="0066730D">
      <w:pPr>
        <w:pStyle w:val="Titre3"/>
        <w:rPr>
          <w:lang w:val="fr-FR"/>
        </w:rPr>
      </w:pPr>
      <w:bookmarkStart w:id="137" w:name="_Toc240614396"/>
      <w:r w:rsidRPr="00614EF9">
        <w:rPr>
          <w:lang w:val="fr-FR"/>
        </w:rPr>
        <w:t>Bande 600 MHz</w:t>
      </w:r>
      <w:bookmarkEnd w:id="137"/>
    </w:p>
    <w:p w14:paraId="36F30094" w14:textId="77777777" w:rsidR="00862E61" w:rsidRPr="00614EF9" w:rsidRDefault="002B146B" w:rsidP="002B146B">
      <w:pPr>
        <w:spacing w:before="60"/>
        <w:rPr>
          <w:lang w:val="fr-FR"/>
        </w:rPr>
      </w:pPr>
      <w:r w:rsidRPr="00614EF9">
        <w:rPr>
          <w:lang w:val="fr-FR"/>
        </w:rPr>
        <w:t xml:space="preserve">En l'absence d’attribution au service mobile dans la bande 470–694 MHz pour le Niger, l'exploitation de réseaux mobiles dans la portion 614–694 MHz relèverait du numéro 4.4 du Règlement des radiocommunications. </w:t>
      </w:r>
    </w:p>
    <w:p w14:paraId="2369EEBB" w14:textId="77777777" w:rsidR="00862E61" w:rsidRPr="00614EF9" w:rsidRDefault="00862E61" w:rsidP="002B146B">
      <w:pPr>
        <w:spacing w:before="60"/>
        <w:rPr>
          <w:lang w:val="fr-FR"/>
        </w:rPr>
      </w:pPr>
      <w:r w:rsidRPr="00614EF9">
        <w:rPr>
          <w:lang w:val="fr-FR"/>
        </w:rPr>
        <w:lastRenderedPageBreak/>
        <w:t>Cela signifierait que, face aux sept administrations frontalières exploitant la TNT dans cette bande au titre du Plan GE06 avec protection pleine et entière, les réseaux mobiles nigériens devraient simultanément supporter sans recours les brouillages qui en proviendraient et limiter leur propre puissance pour ne pas les affecter.</w:t>
      </w:r>
    </w:p>
    <w:p w14:paraId="1EF97650" w14:textId="77777777" w:rsidR="002B146B" w:rsidRPr="00614EF9" w:rsidRDefault="002B146B" w:rsidP="0066730D">
      <w:pPr>
        <w:pStyle w:val="Titre3"/>
        <w:rPr>
          <w:lang w:val="fr-FR"/>
        </w:rPr>
      </w:pPr>
      <w:bookmarkStart w:id="138" w:name="_Toc240614397"/>
      <w:r w:rsidRPr="00614EF9">
        <w:rPr>
          <w:lang w:val="fr-FR"/>
        </w:rPr>
        <w:t>Bande 700 MHz</w:t>
      </w:r>
      <w:bookmarkEnd w:id="138"/>
    </w:p>
    <w:p w14:paraId="633C92BB" w14:textId="77777777" w:rsidR="009B47D4" w:rsidRPr="00614EF9" w:rsidRDefault="009B47D4" w:rsidP="007D4BE4">
      <w:pPr>
        <w:spacing w:before="60"/>
        <w:rPr>
          <w:lang w:val="fr-FR"/>
        </w:rPr>
      </w:pPr>
      <w:r w:rsidRPr="00614EF9">
        <w:rPr>
          <w:lang w:val="fr-FR"/>
        </w:rPr>
        <w:t xml:space="preserve">La protection de la radiodiffusion des administrations voisines s’impose : leur propre processus de libération de la bande 700 MHz peut n’être pas achevé et elles peuvent conserver des entrées numériques au Plan dans les canaux 49 à 60. Les réseaux mobiles du Niger ne pourront ni les brouiller ni réclamer protection à leur égard sans accord obtenu. </w:t>
      </w:r>
    </w:p>
    <w:p w14:paraId="25D60E90" w14:textId="77777777" w:rsidR="009B47D4" w:rsidRPr="00614EF9" w:rsidRDefault="009B47D4" w:rsidP="007D4BE4">
      <w:pPr>
        <w:spacing w:before="60"/>
        <w:rPr>
          <w:lang w:val="fr-FR"/>
        </w:rPr>
      </w:pPr>
      <w:r w:rsidRPr="00614EF9">
        <w:rPr>
          <w:lang w:val="fr-FR"/>
        </w:rPr>
        <w:t xml:space="preserve">Il est également nécessaire de protéger les réseaux mobiles au moyen d’une coordination mobile-mobile portant sur les niveaux de champ à la frontière et sur les arrangements préférentiels de fréquences. </w:t>
      </w:r>
    </w:p>
    <w:p w14:paraId="1FF9831B" w14:textId="77777777" w:rsidR="007D4BE4" w:rsidRPr="00614EF9" w:rsidRDefault="004865EB" w:rsidP="007D4BE4">
      <w:pPr>
        <w:spacing w:before="60"/>
        <w:rPr>
          <w:lang w:val="fr-FR"/>
        </w:rPr>
      </w:pPr>
      <w:r w:rsidRPr="00614EF9">
        <w:rPr>
          <w:lang w:val="fr-FR"/>
        </w:rPr>
        <w:t>Enfin, les assignations mobiles doivent être notifiées au titre de l'article 11 du RR pour inscription au Fichier de référence international des fréquences. Sans cette inscription, le Niger ne peut se prévaloir d'aucune reconnaissance ni protection internationale.</w:t>
      </w:r>
    </w:p>
    <w:p w14:paraId="42275FA7" w14:textId="77777777" w:rsidR="002B146B" w:rsidRPr="00614EF9" w:rsidRDefault="002B146B" w:rsidP="0066730D">
      <w:pPr>
        <w:pStyle w:val="Titre3"/>
        <w:rPr>
          <w:lang w:val="fr-FR"/>
        </w:rPr>
      </w:pPr>
      <w:bookmarkStart w:id="139" w:name="_Toc240614398"/>
      <w:r w:rsidRPr="00614EF9">
        <w:rPr>
          <w:lang w:val="fr-FR"/>
        </w:rPr>
        <w:t>Bande 3,5 GHz</w:t>
      </w:r>
      <w:bookmarkEnd w:id="139"/>
    </w:p>
    <w:p w14:paraId="7B8D5006" w14:textId="77777777" w:rsidR="003A2650" w:rsidRPr="00614EF9" w:rsidRDefault="00C276D7">
      <w:pPr>
        <w:spacing w:before="60"/>
        <w:rPr>
          <w:lang w:val="fr-FR"/>
        </w:rPr>
      </w:pPr>
      <w:r w:rsidRPr="00614EF9">
        <w:rPr>
          <w:lang w:val="fr-FR"/>
        </w:rPr>
        <w:t>Le plan de fréquences envisagé privilégie l’harmonisation à l’échelle de la sous-région. Elle facilite la coordination frontalière et permet de bénéficier des économies d’échelle sur les équipements et les terminaux.</w:t>
      </w:r>
    </w:p>
    <w:p w14:paraId="7743E585" w14:textId="77777777" w:rsidR="00D11D01" w:rsidRPr="00614EF9" w:rsidRDefault="000945C5">
      <w:pPr>
        <w:spacing w:before="60"/>
        <w:rPr>
          <w:lang w:val="fr-FR"/>
        </w:rPr>
      </w:pPr>
      <w:r w:rsidRPr="00614EF9">
        <w:rPr>
          <w:lang w:val="fr-FR"/>
        </w:rPr>
        <w:t>Cette coordination frontalière portera sur les stations de base implantées à proximité des frontières, lorsque les administrations voisines exploitent la même portion selon des arrangements de blocs différents. Une concertation bilatérale préalable devra être engagée avec les administrations concernées, portant sur la synchronisation des réseaux et sur les niveaux de champ admissibles à la frontière.</w:t>
      </w:r>
    </w:p>
    <w:p w14:paraId="02C91C60" w14:textId="77777777" w:rsidR="009B47D4" w:rsidRPr="00614EF9" w:rsidRDefault="009B47D4" w:rsidP="0066730D">
      <w:pPr>
        <w:pStyle w:val="Titre3"/>
        <w:rPr>
          <w:lang w:val="fr-FR"/>
        </w:rPr>
      </w:pPr>
      <w:bookmarkStart w:id="140" w:name="_Toc240614399"/>
      <w:r w:rsidRPr="00614EF9">
        <w:rPr>
          <w:lang w:val="fr-FR"/>
        </w:rPr>
        <w:t>Conclusion</w:t>
      </w:r>
      <w:bookmarkEnd w:id="140"/>
    </w:p>
    <w:p w14:paraId="1D7BE6AF" w14:textId="77777777" w:rsidR="008D0439" w:rsidRPr="00614EF9" w:rsidRDefault="009514E2">
      <w:pPr>
        <w:spacing w:before="60"/>
        <w:rPr>
          <w:lang w:val="fr-FR"/>
        </w:rPr>
      </w:pPr>
      <w:r w:rsidRPr="00614EF9">
        <w:rPr>
          <w:lang w:val="fr-FR"/>
        </w:rPr>
        <w:t xml:space="preserve">Les trois volets examinés ci-dessus appellent une conclusion commune : les instruments de coordination sur lesquels le Niger s'appuie aujourd'hui ont été conclus pour un état du spectre que le présent plan modifie. </w:t>
      </w:r>
    </w:p>
    <w:p w14:paraId="7852487E" w14:textId="78D7F35E" w:rsidR="00406718" w:rsidRPr="00614EF9" w:rsidRDefault="009514E2">
      <w:pPr>
        <w:spacing w:before="60"/>
        <w:rPr>
          <w:lang w:val="fr-FR"/>
        </w:rPr>
      </w:pPr>
      <w:r w:rsidRPr="00614EF9">
        <w:rPr>
          <w:lang w:val="fr-FR"/>
        </w:rPr>
        <w:t>Leur mise à jour n'est donc pas une formalité administrative consécutive aux décisions de libération : elle en conditionne l'exécution. La mise à jour porte sur les objets suivants</w:t>
      </w:r>
      <w:r w:rsidR="00E779C1" w:rsidRPr="00614EF9">
        <w:rPr>
          <w:lang w:val="fr-FR"/>
        </w:rPr>
        <w:t xml:space="preserve"> (</w:t>
      </w:r>
      <w:r w:rsidR="00E779C1" w:rsidRPr="00614EF9">
        <w:rPr>
          <w:lang w:val="fr-FR"/>
        </w:rPr>
        <w:fldChar w:fldCharType="begin"/>
      </w:r>
      <w:r w:rsidR="00E779C1" w:rsidRPr="00614EF9">
        <w:rPr>
          <w:lang w:val="fr-FR"/>
        </w:rPr>
        <w:instrText xml:space="preserve"> REF _Ref240507401 \h </w:instrText>
      </w:r>
      <w:r w:rsidR="008D0439" w:rsidRPr="00614EF9">
        <w:rPr>
          <w:lang w:val="fr-FR"/>
        </w:rPr>
        <w:instrText xml:space="preserve"> \* MERGEFORMAT </w:instrText>
      </w:r>
      <w:r w:rsidR="00E779C1" w:rsidRPr="00614EF9">
        <w:rPr>
          <w:lang w:val="fr-FR"/>
        </w:rPr>
      </w:r>
      <w:r w:rsidR="00E779C1" w:rsidRPr="00614EF9">
        <w:rPr>
          <w:lang w:val="fr-FR"/>
        </w:rPr>
        <w:fldChar w:fldCharType="separate"/>
      </w:r>
      <w:r w:rsidR="00E779C1" w:rsidRPr="00614EF9">
        <w:rPr>
          <w:color w:val="000000" w:themeColor="text1"/>
          <w:lang w:val="fr-FR"/>
        </w:rPr>
        <w:t xml:space="preserve">Tableau </w:t>
      </w:r>
      <w:r w:rsidR="00E779C1" w:rsidRPr="00614EF9">
        <w:rPr>
          <w:noProof/>
          <w:color w:val="000000" w:themeColor="text1"/>
          <w:lang w:val="fr-FR"/>
        </w:rPr>
        <w:t>14</w:t>
      </w:r>
      <w:r w:rsidR="00E779C1" w:rsidRPr="00614EF9">
        <w:rPr>
          <w:lang w:val="fr-FR"/>
        </w:rPr>
        <w:fldChar w:fldCharType="end"/>
      </w:r>
      <w:r w:rsidR="00E779C1" w:rsidRPr="00614EF9">
        <w:rPr>
          <w:lang w:val="fr-FR"/>
        </w:rPr>
        <w:t>)</w:t>
      </w:r>
      <w:r w:rsidRPr="00614EF9">
        <w:rPr>
          <w:lang w:val="fr-FR"/>
        </w:rPr>
        <w:t>, dont le détail est arrêté volet par volet lors de l'établissement des fiches de migration.</w:t>
      </w:r>
    </w:p>
    <w:tbl>
      <w:tblPr>
        <w:tblStyle w:val="TableauGrille4-Accentuation3"/>
        <w:tblW w:w="9638" w:type="dxa"/>
        <w:jc w:val="center"/>
        <w:tblLayout w:type="fixed"/>
        <w:tblLook w:val="04A0" w:firstRow="1" w:lastRow="0" w:firstColumn="1" w:lastColumn="0" w:noHBand="0" w:noVBand="1"/>
      </w:tblPr>
      <w:tblGrid>
        <w:gridCol w:w="2200"/>
        <w:gridCol w:w="3400"/>
        <w:gridCol w:w="2300"/>
        <w:gridCol w:w="1738"/>
      </w:tblGrid>
      <w:tr w:rsidR="00406718" w:rsidRPr="00614EF9" w14:paraId="3F62C6C6" w14:textId="77777777" w:rsidTr="00406718">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200" w:type="dxa"/>
          </w:tcPr>
          <w:p w14:paraId="07B3FDC5" w14:textId="77777777" w:rsidR="00406718" w:rsidRPr="00614EF9" w:rsidRDefault="009514E2">
            <w:pPr>
              <w:spacing w:before="20" w:after="20"/>
              <w:rPr>
                <w:lang w:val="fr-FR"/>
              </w:rPr>
            </w:pPr>
            <w:r w:rsidRPr="00614EF9">
              <w:rPr>
                <w:color w:val="FFFFFF"/>
                <w:sz w:val="18"/>
                <w:szCs w:val="18"/>
                <w:lang w:val="fr-FR"/>
              </w:rPr>
              <w:t>Instrument</w:t>
            </w:r>
          </w:p>
        </w:tc>
        <w:tc>
          <w:tcPr>
            <w:tcW w:w="3400" w:type="dxa"/>
          </w:tcPr>
          <w:p w14:paraId="1F1B1981" w14:textId="77777777" w:rsidR="00406718"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Objet de la mise à jour</w:t>
            </w:r>
          </w:p>
        </w:tc>
        <w:tc>
          <w:tcPr>
            <w:tcW w:w="2300" w:type="dxa"/>
          </w:tcPr>
          <w:p w14:paraId="6DAE2069" w14:textId="77777777" w:rsidR="00406718"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Parties</w:t>
            </w:r>
          </w:p>
        </w:tc>
        <w:tc>
          <w:tcPr>
            <w:tcW w:w="1738" w:type="dxa"/>
          </w:tcPr>
          <w:p w14:paraId="4C1E3EF9" w14:textId="77777777" w:rsidR="00406718"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Échéance</w:t>
            </w:r>
          </w:p>
        </w:tc>
      </w:tr>
      <w:tr w:rsidR="00406718" w:rsidRPr="00614EF9" w14:paraId="7CAF634B" w14:textId="77777777" w:rsidTr="004067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4B707E7C" w14:textId="77777777" w:rsidR="00406718" w:rsidRPr="00614EF9" w:rsidRDefault="009514E2" w:rsidP="00DD0990">
            <w:pPr>
              <w:spacing w:before="20" w:after="20"/>
              <w:rPr>
                <w:b w:val="0"/>
                <w:bCs w:val="0"/>
                <w:lang w:val="fr-FR"/>
              </w:rPr>
            </w:pPr>
            <w:r w:rsidRPr="00614EF9">
              <w:rPr>
                <w:b w:val="0"/>
                <w:bCs w:val="0"/>
                <w:sz w:val="18"/>
                <w:szCs w:val="18"/>
                <w:lang w:val="fr-FR"/>
              </w:rPr>
              <w:t>Accord GE06, article 4</w:t>
            </w:r>
          </w:p>
        </w:tc>
        <w:tc>
          <w:tcPr>
            <w:tcW w:w="3400" w:type="dxa"/>
          </w:tcPr>
          <w:p w14:paraId="35B12BBF"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Modification du Plan pour les localités dépourvues de canal d'accueil, subordonnée à l'accord des administrations affectées</w:t>
            </w:r>
          </w:p>
        </w:tc>
        <w:tc>
          <w:tcPr>
            <w:tcW w:w="2300" w:type="dxa"/>
          </w:tcPr>
          <w:p w14:paraId="68E809EA"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Bureau des radiocommunications et administrations affectées</w:t>
            </w:r>
          </w:p>
        </w:tc>
        <w:tc>
          <w:tcPr>
            <w:tcW w:w="1738" w:type="dxa"/>
          </w:tcPr>
          <w:p w14:paraId="28D13372"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Préalable à toute décision sur le volet 600 MHz</w:t>
            </w:r>
          </w:p>
        </w:tc>
      </w:tr>
      <w:tr w:rsidR="00406718" w:rsidRPr="00614EF9" w14:paraId="6C54C5F1" w14:textId="77777777" w:rsidTr="00406718">
        <w:trPr>
          <w:jc w:val="center"/>
        </w:trPr>
        <w:tc>
          <w:tcPr>
            <w:cnfStyle w:val="001000000000" w:firstRow="0" w:lastRow="0" w:firstColumn="1" w:lastColumn="0" w:oddVBand="0" w:evenVBand="0" w:oddHBand="0" w:evenHBand="0" w:firstRowFirstColumn="0" w:firstRowLastColumn="0" w:lastRowFirstColumn="0" w:lastRowLastColumn="0"/>
            <w:tcW w:w="2200" w:type="dxa"/>
          </w:tcPr>
          <w:p w14:paraId="6F812E01" w14:textId="77777777" w:rsidR="00406718" w:rsidRPr="00614EF9" w:rsidRDefault="009514E2" w:rsidP="00DD0990">
            <w:pPr>
              <w:spacing w:before="20" w:after="20"/>
              <w:rPr>
                <w:b w:val="0"/>
                <w:bCs w:val="0"/>
                <w:lang w:val="fr-FR"/>
              </w:rPr>
            </w:pPr>
            <w:r w:rsidRPr="00614EF9">
              <w:rPr>
                <w:b w:val="0"/>
                <w:bCs w:val="0"/>
                <w:sz w:val="18"/>
                <w:szCs w:val="18"/>
                <w:lang w:val="fr-FR"/>
              </w:rPr>
              <w:t>Arrangements bilatéraux de coordination frontalière</w:t>
            </w:r>
          </w:p>
        </w:tc>
        <w:tc>
          <w:tcPr>
            <w:tcW w:w="3400" w:type="dxa"/>
          </w:tcPr>
          <w:p w14:paraId="49CEBCA5"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Introduction du service mobile : valeurs de champ admissibles à la frontière, rapports de protection applicables, partage préférentiel des canaux et des blocs</w:t>
            </w:r>
          </w:p>
        </w:tc>
        <w:tc>
          <w:tcPr>
            <w:tcW w:w="2300" w:type="dxa"/>
          </w:tcPr>
          <w:p w14:paraId="1B27EF85"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Les sept administrations frontalières</w:t>
            </w:r>
          </w:p>
        </w:tc>
        <w:tc>
          <w:tcPr>
            <w:tcW w:w="1738" w:type="dxa"/>
          </w:tcPr>
          <w:p w14:paraId="661C722B"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Phase 1, avant notification</w:t>
            </w:r>
          </w:p>
        </w:tc>
      </w:tr>
      <w:tr w:rsidR="00406718" w:rsidRPr="00614EF9" w14:paraId="61201AA9" w14:textId="77777777" w:rsidTr="004067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0B3AA517" w14:textId="77777777" w:rsidR="00406718" w:rsidRPr="00614EF9" w:rsidRDefault="009514E2" w:rsidP="00DD0990">
            <w:pPr>
              <w:spacing w:before="20" w:after="20"/>
              <w:rPr>
                <w:b w:val="0"/>
                <w:bCs w:val="0"/>
                <w:lang w:val="fr-FR"/>
              </w:rPr>
            </w:pPr>
            <w:r w:rsidRPr="00614EF9">
              <w:rPr>
                <w:b w:val="0"/>
                <w:bCs w:val="0"/>
                <w:sz w:val="18"/>
                <w:szCs w:val="18"/>
                <w:lang w:val="fr-FR"/>
              </w:rPr>
              <w:lastRenderedPageBreak/>
              <w:t>Arrangement de fréquences en bande 700 MHz</w:t>
            </w:r>
          </w:p>
        </w:tc>
        <w:tc>
          <w:tcPr>
            <w:tcW w:w="3400" w:type="dxa"/>
          </w:tcPr>
          <w:p w14:paraId="63DC2477"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Concordance de la variante de duplexage et alignement des blocs avec les administrations déployant les IMT dans la même bande</w:t>
            </w:r>
          </w:p>
        </w:tc>
        <w:tc>
          <w:tcPr>
            <w:tcW w:w="2300" w:type="dxa"/>
          </w:tcPr>
          <w:p w14:paraId="0F6FE384"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Administrations concernées, en priorité celles dont la frontière est la plus peuplée</w:t>
            </w:r>
          </w:p>
        </w:tc>
        <w:tc>
          <w:tcPr>
            <w:tcW w:w="1738" w:type="dxa"/>
          </w:tcPr>
          <w:p w14:paraId="52780336"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Préalable au choix définitif de l'arrangement</w:t>
            </w:r>
          </w:p>
        </w:tc>
      </w:tr>
      <w:tr w:rsidR="00406718" w:rsidRPr="00614EF9" w14:paraId="7BD13795" w14:textId="77777777" w:rsidTr="00406718">
        <w:trPr>
          <w:jc w:val="center"/>
        </w:trPr>
        <w:tc>
          <w:tcPr>
            <w:cnfStyle w:val="001000000000" w:firstRow="0" w:lastRow="0" w:firstColumn="1" w:lastColumn="0" w:oddVBand="0" w:evenVBand="0" w:oddHBand="0" w:evenHBand="0" w:firstRowFirstColumn="0" w:firstRowLastColumn="0" w:lastRowFirstColumn="0" w:lastRowLastColumn="0"/>
            <w:tcW w:w="2200" w:type="dxa"/>
          </w:tcPr>
          <w:p w14:paraId="27ABC2C0" w14:textId="77777777" w:rsidR="00406718" w:rsidRPr="00614EF9" w:rsidRDefault="009514E2" w:rsidP="00DD0990">
            <w:pPr>
              <w:spacing w:before="20" w:after="20"/>
              <w:rPr>
                <w:b w:val="0"/>
                <w:bCs w:val="0"/>
                <w:lang w:val="fr-FR"/>
              </w:rPr>
            </w:pPr>
            <w:r w:rsidRPr="00614EF9">
              <w:rPr>
                <w:b w:val="0"/>
                <w:bCs w:val="0"/>
                <w:sz w:val="18"/>
                <w:szCs w:val="18"/>
                <w:lang w:val="fr-FR"/>
              </w:rPr>
              <w:t>Conditions d'exploitation en bande 3,5 GHz</w:t>
            </w:r>
          </w:p>
        </w:tc>
        <w:tc>
          <w:tcPr>
            <w:tcW w:w="3400" w:type="dxa"/>
          </w:tcPr>
          <w:p w14:paraId="035B152C"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Synchronisation des réseaux en duplex temporel, alignement des blocs et niveaux de champ à la frontière</w:t>
            </w:r>
          </w:p>
        </w:tc>
        <w:tc>
          <w:tcPr>
            <w:tcW w:w="2300" w:type="dxa"/>
          </w:tcPr>
          <w:p w14:paraId="5847EF28"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Administrations frontalières exploitant la même portion</w:t>
            </w:r>
          </w:p>
        </w:tc>
        <w:tc>
          <w:tcPr>
            <w:tcW w:w="1738" w:type="dxa"/>
          </w:tcPr>
          <w:p w14:paraId="5AAEB7E2" w14:textId="77777777" w:rsidR="00406718" w:rsidRPr="00614EF9" w:rsidRDefault="009514E2" w:rsidP="00DD099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Avant la mise en service des premiers réseaux</w:t>
            </w:r>
          </w:p>
        </w:tc>
      </w:tr>
      <w:tr w:rsidR="00406718" w:rsidRPr="00614EF9" w14:paraId="79034E50" w14:textId="77777777" w:rsidTr="004067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Pr>
          <w:p w14:paraId="244E5135" w14:textId="77777777" w:rsidR="00406718" w:rsidRPr="00614EF9" w:rsidRDefault="009514E2" w:rsidP="00DD0990">
            <w:pPr>
              <w:spacing w:before="20" w:after="20"/>
              <w:rPr>
                <w:b w:val="0"/>
                <w:bCs w:val="0"/>
                <w:lang w:val="fr-FR"/>
              </w:rPr>
            </w:pPr>
            <w:r w:rsidRPr="00614EF9">
              <w:rPr>
                <w:b w:val="0"/>
                <w:bCs w:val="0"/>
                <w:sz w:val="18"/>
                <w:szCs w:val="18"/>
                <w:lang w:val="fr-FR"/>
              </w:rPr>
              <w:t>Article 11 du Règlement des radiocommunications</w:t>
            </w:r>
          </w:p>
        </w:tc>
        <w:tc>
          <w:tcPr>
            <w:tcW w:w="3400" w:type="dxa"/>
          </w:tcPr>
          <w:p w14:paraId="6B8E1E51"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Notification des assignations mobiles pour inscription au Fichier de référence international des fréquences, et radiation des assignations analogiques éteintes</w:t>
            </w:r>
          </w:p>
        </w:tc>
        <w:tc>
          <w:tcPr>
            <w:tcW w:w="2300" w:type="dxa"/>
          </w:tcPr>
          <w:p w14:paraId="462DEEE1"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Bureau des radiocommunications</w:t>
            </w:r>
          </w:p>
        </w:tc>
        <w:tc>
          <w:tcPr>
            <w:tcW w:w="1738" w:type="dxa"/>
          </w:tcPr>
          <w:p w14:paraId="6B320554" w14:textId="77777777" w:rsidR="00406718" w:rsidRPr="00614EF9" w:rsidRDefault="009514E2" w:rsidP="00DD099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À l'issue de chaque constat de libération</w:t>
            </w:r>
          </w:p>
        </w:tc>
      </w:tr>
    </w:tbl>
    <w:p w14:paraId="0EE05B5C" w14:textId="77777777" w:rsidR="00574BB4" w:rsidRPr="00614EF9" w:rsidRDefault="00574BB4" w:rsidP="00574BB4">
      <w:pPr>
        <w:pStyle w:val="Lgende"/>
        <w:spacing w:before="120" w:after="120"/>
        <w:rPr>
          <w:color w:val="000000" w:themeColor="text1"/>
          <w:lang w:val="fr-FR"/>
        </w:rPr>
      </w:pPr>
      <w:bookmarkStart w:id="141" w:name="_Ref240507401"/>
      <w:bookmarkStart w:id="142" w:name="_Toc240614528"/>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14</w:t>
      </w:r>
      <w:r w:rsidRPr="00614EF9">
        <w:rPr>
          <w:color w:val="000000" w:themeColor="text1"/>
          <w:lang w:val="fr-FR"/>
        </w:rPr>
        <w:fldChar w:fldCharType="end"/>
      </w:r>
      <w:r w:rsidRPr="00614EF9">
        <w:rPr>
          <w:color w:val="000000" w:themeColor="text1"/>
          <w:lang w:val="fr-FR"/>
        </w:rPr>
        <w:t>: Éléments à considérer pour la mise à jour des accords de coordination des fréquences aux frontières</w:t>
      </w:r>
      <w:bookmarkEnd w:id="141"/>
      <w:bookmarkEnd w:id="142"/>
    </w:p>
    <w:p w14:paraId="501D9B7B" w14:textId="77777777" w:rsidR="007C757E" w:rsidRPr="00614EF9" w:rsidRDefault="009514E2" w:rsidP="007D4BE4">
      <w:pPr>
        <w:pStyle w:val="Titre2"/>
        <w:rPr>
          <w:lang w:val="fr-FR"/>
        </w:rPr>
      </w:pPr>
      <w:bookmarkStart w:id="143" w:name="_Toc232062299"/>
      <w:bookmarkStart w:id="144" w:name="_Toc236636376"/>
      <w:bookmarkStart w:id="145" w:name="_Toc240614400"/>
      <w:r w:rsidRPr="00614EF9">
        <w:rPr>
          <w:lang w:val="fr-FR"/>
        </w:rPr>
        <w:t>Analyse coûts-bénéfices</w:t>
      </w:r>
      <w:bookmarkEnd w:id="143"/>
      <w:bookmarkEnd w:id="144"/>
      <w:bookmarkEnd w:id="145"/>
    </w:p>
    <w:p w14:paraId="1AE2AD54" w14:textId="0FA04B5F" w:rsidR="003A2650" w:rsidRPr="00614EF9" w:rsidRDefault="009514E2">
      <w:pPr>
        <w:spacing w:before="60"/>
        <w:rPr>
          <w:lang w:val="fr-FR"/>
        </w:rPr>
      </w:pPr>
      <w:r w:rsidRPr="00614EF9">
        <w:rPr>
          <w:lang w:val="fr-FR"/>
        </w:rPr>
        <w:t>Les coûts de migration déclarés à ce stade portent sur les seuls volets 600 MHz et 700 MHz, au titre de la radiodiffusion télévisuelle.</w:t>
      </w:r>
      <w:r w:rsidR="0080295C" w:rsidRPr="00614EF9">
        <w:rPr>
          <w:lang w:val="fr-FR"/>
        </w:rPr>
        <w:t xml:space="preserve"> Le </w:t>
      </w:r>
      <w:r w:rsidR="0080295C" w:rsidRPr="00614EF9">
        <w:rPr>
          <w:lang w:val="fr-FR"/>
        </w:rPr>
        <w:fldChar w:fldCharType="begin"/>
      </w:r>
      <w:r w:rsidR="0080295C" w:rsidRPr="00614EF9">
        <w:rPr>
          <w:lang w:val="fr-FR"/>
        </w:rPr>
        <w:instrText xml:space="preserve"> REF _Ref240507459 \h </w:instrText>
      </w:r>
      <w:r w:rsidR="008D0439" w:rsidRPr="00614EF9">
        <w:rPr>
          <w:lang w:val="fr-FR"/>
        </w:rPr>
        <w:instrText xml:space="preserve"> \* MERGEFORMAT </w:instrText>
      </w:r>
      <w:r w:rsidR="0080295C" w:rsidRPr="00614EF9">
        <w:rPr>
          <w:lang w:val="fr-FR"/>
        </w:rPr>
      </w:r>
      <w:r w:rsidR="0080295C" w:rsidRPr="00614EF9">
        <w:rPr>
          <w:lang w:val="fr-FR"/>
        </w:rPr>
        <w:fldChar w:fldCharType="separate"/>
      </w:r>
      <w:r w:rsidR="0080295C" w:rsidRPr="00614EF9">
        <w:rPr>
          <w:color w:val="000000" w:themeColor="text1"/>
          <w:lang w:val="fr-FR"/>
        </w:rPr>
        <w:t xml:space="preserve">Tableau </w:t>
      </w:r>
      <w:r w:rsidR="0080295C" w:rsidRPr="00614EF9">
        <w:rPr>
          <w:noProof/>
          <w:color w:val="000000" w:themeColor="text1"/>
          <w:lang w:val="fr-FR"/>
        </w:rPr>
        <w:t>15</w:t>
      </w:r>
      <w:r w:rsidR="0080295C" w:rsidRPr="00614EF9">
        <w:rPr>
          <w:lang w:val="fr-FR"/>
        </w:rPr>
        <w:fldChar w:fldCharType="end"/>
      </w:r>
      <w:r w:rsidR="0080295C" w:rsidRPr="00614EF9">
        <w:rPr>
          <w:lang w:val="fr-FR"/>
        </w:rPr>
        <w:t xml:space="preserve"> les décrit.</w:t>
      </w:r>
    </w:p>
    <w:tbl>
      <w:tblPr>
        <w:tblStyle w:val="TableauGrille4-Accentuation3"/>
        <w:tblW w:w="9638" w:type="dxa"/>
        <w:jc w:val="center"/>
        <w:tblLayout w:type="fixed"/>
        <w:tblLook w:val="04A0" w:firstRow="1" w:lastRow="0" w:firstColumn="1" w:lastColumn="0" w:noHBand="0" w:noVBand="1"/>
      </w:tblPr>
      <w:tblGrid>
        <w:gridCol w:w="1200"/>
        <w:gridCol w:w="2900"/>
        <w:gridCol w:w="1565"/>
        <w:gridCol w:w="3973"/>
      </w:tblGrid>
      <w:tr w:rsidR="003A2650" w:rsidRPr="00614EF9" w14:paraId="77BAB1D5" w14:textId="77777777" w:rsidTr="00C1792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05203BB9" w14:textId="77777777" w:rsidR="003A2650" w:rsidRPr="00614EF9" w:rsidRDefault="009514E2">
            <w:pPr>
              <w:spacing w:before="20" w:after="20"/>
              <w:rPr>
                <w:lang w:val="fr-FR"/>
              </w:rPr>
            </w:pPr>
            <w:r w:rsidRPr="00614EF9">
              <w:rPr>
                <w:color w:val="FFFFFF"/>
                <w:sz w:val="18"/>
                <w:szCs w:val="18"/>
                <w:lang w:val="fr-FR"/>
              </w:rPr>
              <w:t>Volet</w:t>
            </w:r>
          </w:p>
        </w:tc>
        <w:tc>
          <w:tcPr>
            <w:tcW w:w="2900" w:type="dxa"/>
            <w:tcMar>
              <w:top w:w="40" w:type="dxa"/>
              <w:bottom w:w="40" w:type="dxa"/>
            </w:tcMar>
          </w:tcPr>
          <w:p w14:paraId="409FD145"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Poste</w:t>
            </w:r>
          </w:p>
        </w:tc>
        <w:tc>
          <w:tcPr>
            <w:tcW w:w="1565" w:type="dxa"/>
            <w:tcMar>
              <w:top w:w="40" w:type="dxa"/>
              <w:bottom w:w="40" w:type="dxa"/>
            </w:tcMar>
          </w:tcPr>
          <w:p w14:paraId="4E2C0C39"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Montant déclaré (F CFA)</w:t>
            </w:r>
          </w:p>
        </w:tc>
        <w:tc>
          <w:tcPr>
            <w:tcW w:w="3973" w:type="dxa"/>
            <w:tcMar>
              <w:top w:w="40" w:type="dxa"/>
              <w:bottom w:w="40" w:type="dxa"/>
            </w:tcMar>
          </w:tcPr>
          <w:p w14:paraId="0ADDBD7A"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Observation</w:t>
            </w:r>
          </w:p>
        </w:tc>
      </w:tr>
      <w:tr w:rsidR="003A2650" w:rsidRPr="004E0820" w14:paraId="4A55CF96" w14:textId="77777777" w:rsidTr="00C1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50452147" w14:textId="77777777" w:rsidR="003A2650" w:rsidRPr="004E0820" w:rsidRDefault="009514E2">
            <w:pPr>
              <w:spacing w:before="20" w:after="20"/>
              <w:rPr>
                <w:b w:val="0"/>
                <w:bCs w:val="0"/>
                <w:lang w:val="fr-FR"/>
              </w:rPr>
            </w:pPr>
            <w:r w:rsidRPr="004E0820">
              <w:rPr>
                <w:b w:val="0"/>
                <w:bCs w:val="0"/>
                <w:sz w:val="18"/>
                <w:szCs w:val="18"/>
                <w:lang w:val="fr-FR"/>
              </w:rPr>
              <w:t>600 MHz</w:t>
            </w:r>
          </w:p>
        </w:tc>
        <w:tc>
          <w:tcPr>
            <w:tcW w:w="2900" w:type="dxa"/>
            <w:tcMar>
              <w:top w:w="40" w:type="dxa"/>
              <w:bottom w:w="40" w:type="dxa"/>
            </w:tcMar>
          </w:tcPr>
          <w:p w14:paraId="071A8606"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proofErr w:type="spellStart"/>
            <w:r w:rsidRPr="004E0820">
              <w:rPr>
                <w:sz w:val="18"/>
                <w:szCs w:val="18"/>
                <w:lang w:val="fr-FR"/>
              </w:rPr>
              <w:t>Retuning</w:t>
            </w:r>
            <w:proofErr w:type="spellEnd"/>
            <w:r w:rsidRPr="004E0820">
              <w:rPr>
                <w:sz w:val="18"/>
                <w:szCs w:val="18"/>
                <w:lang w:val="fr-FR"/>
              </w:rPr>
              <w:t xml:space="preserve"> et remplacement des émetteurs</w:t>
            </w:r>
          </w:p>
        </w:tc>
        <w:tc>
          <w:tcPr>
            <w:tcW w:w="1565" w:type="dxa"/>
            <w:tcMar>
              <w:top w:w="40" w:type="dxa"/>
              <w:bottom w:w="40" w:type="dxa"/>
            </w:tcMar>
          </w:tcPr>
          <w:p w14:paraId="1F9456DE" w14:textId="77777777" w:rsidR="003A2650" w:rsidRPr="004E0820" w:rsidRDefault="009514E2" w:rsidP="00C1792C">
            <w:pPr>
              <w:spacing w:before="20" w:after="20"/>
              <w:jc w:val="right"/>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120 000 000</w:t>
            </w:r>
          </w:p>
        </w:tc>
        <w:tc>
          <w:tcPr>
            <w:tcW w:w="3973" w:type="dxa"/>
            <w:tcMar>
              <w:top w:w="40" w:type="dxa"/>
              <w:bottom w:w="40" w:type="dxa"/>
            </w:tcMar>
          </w:tcPr>
          <w:p w14:paraId="18D54F74"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30 millions par émetteur, pour quatre émetteurs ; hypothèse de double diffusion</w:t>
            </w:r>
          </w:p>
        </w:tc>
      </w:tr>
      <w:tr w:rsidR="003A2650" w:rsidRPr="004E0820" w14:paraId="74A50593" w14:textId="77777777" w:rsidTr="00C1792C">
        <w:trPr>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59097B0B" w14:textId="77777777" w:rsidR="003A2650" w:rsidRPr="004E0820" w:rsidRDefault="009514E2">
            <w:pPr>
              <w:spacing w:before="20" w:after="20"/>
              <w:rPr>
                <w:b w:val="0"/>
                <w:bCs w:val="0"/>
                <w:lang w:val="fr-FR"/>
              </w:rPr>
            </w:pPr>
            <w:r w:rsidRPr="004E0820">
              <w:rPr>
                <w:b w:val="0"/>
                <w:bCs w:val="0"/>
                <w:sz w:val="18"/>
                <w:szCs w:val="18"/>
                <w:lang w:val="fr-FR"/>
              </w:rPr>
              <w:t>600 MHz</w:t>
            </w:r>
          </w:p>
        </w:tc>
        <w:tc>
          <w:tcPr>
            <w:tcW w:w="2900" w:type="dxa"/>
            <w:tcMar>
              <w:top w:w="40" w:type="dxa"/>
              <w:bottom w:w="40" w:type="dxa"/>
            </w:tcMar>
          </w:tcPr>
          <w:p w14:paraId="5BC22EC2"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Filtres de masque et systèmes rayonnants</w:t>
            </w:r>
          </w:p>
        </w:tc>
        <w:tc>
          <w:tcPr>
            <w:tcW w:w="1565" w:type="dxa"/>
            <w:tcMar>
              <w:top w:w="40" w:type="dxa"/>
              <w:bottom w:w="40" w:type="dxa"/>
            </w:tcMar>
          </w:tcPr>
          <w:p w14:paraId="4388B98B" w14:textId="77777777" w:rsidR="003A2650" w:rsidRPr="004E0820" w:rsidRDefault="009514E2" w:rsidP="00C1792C">
            <w:pPr>
              <w:spacing w:before="20" w:after="20"/>
              <w:jc w:val="right"/>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60 000 000</w:t>
            </w:r>
          </w:p>
        </w:tc>
        <w:tc>
          <w:tcPr>
            <w:tcW w:w="3973" w:type="dxa"/>
            <w:tcMar>
              <w:top w:w="40" w:type="dxa"/>
              <w:bottom w:w="40" w:type="dxa"/>
            </w:tcMar>
          </w:tcPr>
          <w:p w14:paraId="6F42E701"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15 millions par émetteur, pour quatre émetteurs</w:t>
            </w:r>
          </w:p>
        </w:tc>
      </w:tr>
      <w:tr w:rsidR="003A2650" w:rsidRPr="004E0820" w14:paraId="0CEB74AE" w14:textId="77777777" w:rsidTr="00C1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79D3CE1D" w14:textId="77777777" w:rsidR="003A2650" w:rsidRPr="004E0820" w:rsidRDefault="009514E2">
            <w:pPr>
              <w:spacing w:before="20" w:after="20"/>
              <w:rPr>
                <w:b w:val="0"/>
                <w:bCs w:val="0"/>
                <w:lang w:val="fr-FR"/>
              </w:rPr>
            </w:pPr>
            <w:r w:rsidRPr="004E0820">
              <w:rPr>
                <w:b w:val="0"/>
                <w:bCs w:val="0"/>
                <w:sz w:val="18"/>
                <w:szCs w:val="18"/>
                <w:lang w:val="fr-FR"/>
              </w:rPr>
              <w:t>600 MHz</w:t>
            </w:r>
          </w:p>
        </w:tc>
        <w:tc>
          <w:tcPr>
            <w:tcW w:w="2900" w:type="dxa"/>
            <w:tcMar>
              <w:top w:w="40" w:type="dxa"/>
              <w:bottom w:w="40" w:type="dxa"/>
            </w:tcMar>
          </w:tcPr>
          <w:p w14:paraId="4D971629"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Information et accompagnement du public</w:t>
            </w:r>
          </w:p>
        </w:tc>
        <w:tc>
          <w:tcPr>
            <w:tcW w:w="1565" w:type="dxa"/>
            <w:tcMar>
              <w:top w:w="40" w:type="dxa"/>
              <w:bottom w:w="40" w:type="dxa"/>
            </w:tcMar>
          </w:tcPr>
          <w:p w14:paraId="383A04D4" w14:textId="77777777" w:rsidR="003A2650" w:rsidRPr="004E0820" w:rsidRDefault="009514E2" w:rsidP="00C1792C">
            <w:pPr>
              <w:spacing w:before="20" w:after="20"/>
              <w:jc w:val="right"/>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20 000 000</w:t>
            </w:r>
          </w:p>
        </w:tc>
        <w:tc>
          <w:tcPr>
            <w:tcW w:w="3973" w:type="dxa"/>
            <w:tcMar>
              <w:top w:w="40" w:type="dxa"/>
              <w:bottom w:w="40" w:type="dxa"/>
            </w:tcMar>
          </w:tcPr>
          <w:p w14:paraId="24D7FC01"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Spots et diffusion</w:t>
            </w:r>
          </w:p>
        </w:tc>
      </w:tr>
      <w:tr w:rsidR="003A2650" w:rsidRPr="004E0820" w14:paraId="004CE087" w14:textId="77777777" w:rsidTr="00C1792C">
        <w:trPr>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3FE7E12C" w14:textId="77777777" w:rsidR="003A2650" w:rsidRPr="004E0820" w:rsidRDefault="009514E2">
            <w:pPr>
              <w:spacing w:before="20" w:after="20"/>
              <w:rPr>
                <w:b w:val="0"/>
                <w:bCs w:val="0"/>
                <w:lang w:val="fr-FR"/>
              </w:rPr>
            </w:pPr>
            <w:r w:rsidRPr="004E0820">
              <w:rPr>
                <w:b w:val="0"/>
                <w:bCs w:val="0"/>
                <w:sz w:val="18"/>
                <w:szCs w:val="18"/>
                <w:lang w:val="fr-FR"/>
              </w:rPr>
              <w:t>600 MHz</w:t>
            </w:r>
          </w:p>
        </w:tc>
        <w:tc>
          <w:tcPr>
            <w:tcW w:w="2900" w:type="dxa"/>
            <w:tcMar>
              <w:top w:w="40" w:type="dxa"/>
              <w:bottom w:w="40" w:type="dxa"/>
            </w:tcMar>
          </w:tcPr>
          <w:p w14:paraId="3DB62409"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Total déclaré</w:t>
            </w:r>
          </w:p>
        </w:tc>
        <w:tc>
          <w:tcPr>
            <w:tcW w:w="1565" w:type="dxa"/>
            <w:tcMar>
              <w:top w:w="40" w:type="dxa"/>
              <w:bottom w:w="40" w:type="dxa"/>
            </w:tcMar>
          </w:tcPr>
          <w:p w14:paraId="0F9138F3" w14:textId="77777777" w:rsidR="003A2650" w:rsidRPr="004E0820" w:rsidRDefault="009514E2" w:rsidP="00C1792C">
            <w:pPr>
              <w:spacing w:before="20" w:after="20"/>
              <w:jc w:val="right"/>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200 000 000</w:t>
            </w:r>
          </w:p>
        </w:tc>
        <w:tc>
          <w:tcPr>
            <w:tcW w:w="3973" w:type="dxa"/>
            <w:tcMar>
              <w:top w:w="40" w:type="dxa"/>
              <w:bottom w:w="40" w:type="dxa"/>
            </w:tcMar>
          </w:tcPr>
          <w:p w14:paraId="51428749"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Postes « études et coordination GE06 » et « aides à la réception » non chiffrés</w:t>
            </w:r>
          </w:p>
        </w:tc>
      </w:tr>
      <w:tr w:rsidR="003A2650" w:rsidRPr="004E0820" w14:paraId="4A0C4730" w14:textId="77777777" w:rsidTr="00C1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204E48D4" w14:textId="77777777" w:rsidR="003A2650" w:rsidRPr="004E0820" w:rsidRDefault="009514E2">
            <w:pPr>
              <w:spacing w:before="20" w:after="20"/>
              <w:rPr>
                <w:b w:val="0"/>
                <w:bCs w:val="0"/>
                <w:lang w:val="fr-FR"/>
              </w:rPr>
            </w:pPr>
            <w:r w:rsidRPr="004E0820">
              <w:rPr>
                <w:b w:val="0"/>
                <w:bCs w:val="0"/>
                <w:sz w:val="18"/>
                <w:szCs w:val="18"/>
                <w:lang w:val="fr-FR"/>
              </w:rPr>
              <w:t>700 MHz</w:t>
            </w:r>
          </w:p>
        </w:tc>
        <w:tc>
          <w:tcPr>
            <w:tcW w:w="2900" w:type="dxa"/>
            <w:tcMar>
              <w:top w:w="40" w:type="dxa"/>
              <w:bottom w:w="40" w:type="dxa"/>
            </w:tcMar>
          </w:tcPr>
          <w:p w14:paraId="764C9FD1"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Information et accompagnement du public</w:t>
            </w:r>
          </w:p>
        </w:tc>
        <w:tc>
          <w:tcPr>
            <w:tcW w:w="1565" w:type="dxa"/>
            <w:tcMar>
              <w:top w:w="40" w:type="dxa"/>
              <w:bottom w:w="40" w:type="dxa"/>
            </w:tcMar>
          </w:tcPr>
          <w:p w14:paraId="749C02FE" w14:textId="77777777" w:rsidR="003A2650" w:rsidRPr="004E0820" w:rsidRDefault="009514E2" w:rsidP="00C1792C">
            <w:pPr>
              <w:spacing w:before="20" w:after="20"/>
              <w:jc w:val="right"/>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50 000 000</w:t>
            </w:r>
          </w:p>
        </w:tc>
        <w:tc>
          <w:tcPr>
            <w:tcW w:w="3973" w:type="dxa"/>
            <w:tcMar>
              <w:top w:w="40" w:type="dxa"/>
              <w:bottom w:w="40" w:type="dxa"/>
            </w:tcMar>
          </w:tcPr>
          <w:p w14:paraId="202BC409" w14:textId="77777777" w:rsidR="003A2650" w:rsidRPr="004E0820"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4E0820">
              <w:rPr>
                <w:sz w:val="18"/>
                <w:szCs w:val="18"/>
                <w:lang w:val="fr-FR"/>
              </w:rPr>
              <w:t>Spots, diffusion et caravane nationale</w:t>
            </w:r>
          </w:p>
        </w:tc>
      </w:tr>
      <w:tr w:rsidR="003A2650" w:rsidRPr="004E0820" w14:paraId="3D6CA3C9" w14:textId="77777777" w:rsidTr="00C1792C">
        <w:trPr>
          <w:jc w:val="center"/>
        </w:trPr>
        <w:tc>
          <w:tcPr>
            <w:cnfStyle w:val="001000000000" w:firstRow="0" w:lastRow="0" w:firstColumn="1" w:lastColumn="0" w:oddVBand="0" w:evenVBand="0" w:oddHBand="0" w:evenHBand="0" w:firstRowFirstColumn="0" w:firstRowLastColumn="0" w:lastRowFirstColumn="0" w:lastRowLastColumn="0"/>
            <w:tcW w:w="1200" w:type="dxa"/>
            <w:tcMar>
              <w:top w:w="40" w:type="dxa"/>
              <w:bottom w:w="40" w:type="dxa"/>
            </w:tcMar>
          </w:tcPr>
          <w:p w14:paraId="5413E5F0" w14:textId="77777777" w:rsidR="003A2650" w:rsidRPr="004E0820" w:rsidRDefault="009514E2">
            <w:pPr>
              <w:spacing w:before="20" w:after="20"/>
              <w:rPr>
                <w:b w:val="0"/>
                <w:bCs w:val="0"/>
                <w:lang w:val="fr-FR"/>
              </w:rPr>
            </w:pPr>
            <w:r w:rsidRPr="004E0820">
              <w:rPr>
                <w:b w:val="0"/>
                <w:bCs w:val="0"/>
                <w:sz w:val="18"/>
                <w:szCs w:val="18"/>
                <w:lang w:val="fr-FR"/>
              </w:rPr>
              <w:t>700 MHz</w:t>
            </w:r>
          </w:p>
        </w:tc>
        <w:tc>
          <w:tcPr>
            <w:tcW w:w="2900" w:type="dxa"/>
            <w:tcMar>
              <w:top w:w="40" w:type="dxa"/>
              <w:bottom w:w="40" w:type="dxa"/>
            </w:tcMar>
          </w:tcPr>
          <w:p w14:paraId="1A68F870"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Total déclaré</w:t>
            </w:r>
          </w:p>
        </w:tc>
        <w:tc>
          <w:tcPr>
            <w:tcW w:w="1565" w:type="dxa"/>
            <w:tcMar>
              <w:top w:w="40" w:type="dxa"/>
              <w:bottom w:w="40" w:type="dxa"/>
            </w:tcMar>
          </w:tcPr>
          <w:p w14:paraId="480FA8C5" w14:textId="77777777" w:rsidR="003A2650" w:rsidRPr="004E0820" w:rsidRDefault="009514E2" w:rsidP="00C1792C">
            <w:pPr>
              <w:spacing w:before="20" w:after="20"/>
              <w:jc w:val="right"/>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 xml:space="preserve">50 000 000 </w:t>
            </w:r>
          </w:p>
        </w:tc>
        <w:tc>
          <w:tcPr>
            <w:tcW w:w="3973" w:type="dxa"/>
            <w:tcMar>
              <w:top w:w="40" w:type="dxa"/>
              <w:bottom w:w="40" w:type="dxa"/>
            </w:tcMar>
          </w:tcPr>
          <w:p w14:paraId="1BCA5D5E" w14:textId="77777777" w:rsidR="003A2650" w:rsidRPr="004E0820"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4E0820">
              <w:rPr>
                <w:sz w:val="18"/>
                <w:szCs w:val="18"/>
                <w:lang w:val="fr-FR"/>
              </w:rPr>
              <w:t>Postes d'équipement non chiffrés</w:t>
            </w:r>
          </w:p>
        </w:tc>
      </w:tr>
    </w:tbl>
    <w:p w14:paraId="0BD4182F" w14:textId="77777777" w:rsidR="00574BB4" w:rsidRPr="00614EF9" w:rsidRDefault="00574BB4" w:rsidP="00574BB4">
      <w:pPr>
        <w:pStyle w:val="Lgende"/>
        <w:spacing w:before="120" w:after="120"/>
        <w:rPr>
          <w:color w:val="000000" w:themeColor="text1"/>
          <w:lang w:val="fr-FR"/>
        </w:rPr>
      </w:pPr>
      <w:bookmarkStart w:id="146" w:name="_Ref240507459"/>
      <w:bookmarkStart w:id="147" w:name="_Toc240614529"/>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15</w:t>
      </w:r>
      <w:r w:rsidRPr="00614EF9">
        <w:rPr>
          <w:color w:val="000000" w:themeColor="text1"/>
          <w:lang w:val="fr-FR"/>
        </w:rPr>
        <w:fldChar w:fldCharType="end"/>
      </w:r>
      <w:r w:rsidRPr="00614EF9">
        <w:rPr>
          <w:color w:val="000000" w:themeColor="text1"/>
          <w:lang w:val="fr-FR"/>
        </w:rPr>
        <w:t>: Évaluation des coûts de migration</w:t>
      </w:r>
      <w:bookmarkEnd w:id="146"/>
      <w:bookmarkEnd w:id="147"/>
    </w:p>
    <w:p w14:paraId="62B08575" w14:textId="77777777" w:rsidR="00C079BA" w:rsidRPr="00614EF9" w:rsidRDefault="009514E2">
      <w:pPr>
        <w:spacing w:before="60"/>
        <w:rPr>
          <w:lang w:val="fr-FR"/>
        </w:rPr>
      </w:pPr>
      <w:r w:rsidRPr="00614EF9">
        <w:rPr>
          <w:lang w:val="fr-FR"/>
        </w:rPr>
        <w:t xml:space="preserve">La libération de la bande 700 MHz met à disposition du service mobile 2 × 30 MHz de spectre en fréquences basses, dont les caractéristiques de propagation sont particulièrement adaptées à la couverture des zones rurales et à la pénétration à l'intérieur des bâtiments. </w:t>
      </w:r>
    </w:p>
    <w:p w14:paraId="28FCD729" w14:textId="0444391B" w:rsidR="00C079BA" w:rsidRPr="00614EF9" w:rsidRDefault="009514E2">
      <w:pPr>
        <w:spacing w:before="60"/>
        <w:rPr>
          <w:lang w:val="fr-FR"/>
        </w:rPr>
      </w:pPr>
      <w:r w:rsidRPr="00614EF9">
        <w:rPr>
          <w:lang w:val="fr-FR"/>
        </w:rPr>
        <w:t xml:space="preserve">Le réaménagement de la bande 3,5 GHz dégage la ressource nécessaire au déploiement de la </w:t>
      </w:r>
      <w:r w:rsidR="008D0439" w:rsidRPr="00614EF9">
        <w:rPr>
          <w:lang w:val="fr-FR"/>
        </w:rPr>
        <w:t>5G</w:t>
      </w:r>
      <w:r w:rsidRPr="00614EF9">
        <w:rPr>
          <w:lang w:val="fr-FR"/>
        </w:rPr>
        <w:t xml:space="preserve">. </w:t>
      </w:r>
    </w:p>
    <w:p w14:paraId="06D70AD4" w14:textId="77777777" w:rsidR="004865EB" w:rsidRPr="00614EF9" w:rsidRDefault="009514E2" w:rsidP="0075618B">
      <w:pPr>
        <w:spacing w:before="60"/>
        <w:rPr>
          <w:lang w:val="fr-FR"/>
        </w:rPr>
      </w:pPr>
      <w:r w:rsidRPr="00614EF9">
        <w:rPr>
          <w:lang w:val="fr-FR"/>
        </w:rPr>
        <w:t xml:space="preserve">La bande 600 MHz apporterait 2 × 40 MHz supplémentaires, servant toutefois le même besoin de couverture que la bande 700 MHz : sa valeur marginale avant 2030 est faible, tandis que son coût et son risque sont les plus élevés des trois volets. </w:t>
      </w:r>
    </w:p>
    <w:p w14:paraId="02C70CB5" w14:textId="77777777" w:rsidR="00AB602B" w:rsidRPr="00614EF9" w:rsidRDefault="00AB602B" w:rsidP="0075618B">
      <w:pPr>
        <w:spacing w:before="60"/>
        <w:rPr>
          <w:lang w:val="fr-FR"/>
        </w:rPr>
      </w:pPr>
      <w:r w:rsidRPr="00614EF9">
        <w:rPr>
          <w:lang w:val="fr-FR"/>
        </w:rPr>
        <w:br w:type="page"/>
      </w:r>
    </w:p>
    <w:p w14:paraId="293F3D3E" w14:textId="77777777" w:rsidR="007C757E" w:rsidRPr="00614EF9" w:rsidRDefault="009514E2">
      <w:pPr>
        <w:pStyle w:val="Titre1"/>
        <w:rPr>
          <w:lang w:val="fr-FR"/>
        </w:rPr>
      </w:pPr>
      <w:bookmarkStart w:id="148" w:name="_Toc232062300"/>
      <w:bookmarkStart w:id="149" w:name="_Toc236636377"/>
      <w:bookmarkStart w:id="150" w:name="_Toc240614401"/>
      <w:r w:rsidRPr="00614EF9">
        <w:rPr>
          <w:lang w:val="fr-FR"/>
        </w:rPr>
        <w:lastRenderedPageBreak/>
        <w:t>Modalités de libération et de migration</w:t>
      </w:r>
      <w:bookmarkEnd w:id="148"/>
      <w:bookmarkEnd w:id="149"/>
      <w:bookmarkEnd w:id="150"/>
    </w:p>
    <w:p w14:paraId="7A1D43EC" w14:textId="77777777" w:rsidR="007C757E" w:rsidRPr="00614EF9" w:rsidRDefault="009514E2" w:rsidP="007D4BE4">
      <w:pPr>
        <w:pStyle w:val="Titre2"/>
        <w:rPr>
          <w:lang w:val="fr-FR"/>
        </w:rPr>
      </w:pPr>
      <w:bookmarkStart w:id="151" w:name="_Toc232062301"/>
      <w:bookmarkStart w:id="152" w:name="_Toc236636378"/>
      <w:bookmarkStart w:id="153" w:name="_Toc240614402"/>
      <w:r w:rsidRPr="00614EF9">
        <w:rPr>
          <w:lang w:val="fr-FR"/>
        </w:rPr>
        <w:t>Notification et préavis</w:t>
      </w:r>
      <w:bookmarkEnd w:id="151"/>
      <w:bookmarkEnd w:id="152"/>
      <w:bookmarkEnd w:id="153"/>
    </w:p>
    <w:p w14:paraId="4FC3A1C1" w14:textId="77777777" w:rsidR="00C31F4A" w:rsidRPr="00614EF9" w:rsidRDefault="009514E2" w:rsidP="0066730D">
      <w:pPr>
        <w:pStyle w:val="Titre3"/>
        <w:rPr>
          <w:lang w:val="fr-FR"/>
        </w:rPr>
      </w:pPr>
      <w:bookmarkStart w:id="154" w:name="_Toc240614403"/>
      <w:r w:rsidRPr="00614EF9">
        <w:rPr>
          <w:lang w:val="fr-FR"/>
        </w:rPr>
        <w:t>Notification</w:t>
      </w:r>
      <w:bookmarkEnd w:id="154"/>
    </w:p>
    <w:p w14:paraId="1F214E0B" w14:textId="77777777" w:rsidR="003A2650" w:rsidRPr="00614EF9" w:rsidRDefault="00C31F4A">
      <w:pPr>
        <w:spacing w:before="60"/>
        <w:rPr>
          <w:lang w:val="fr-FR"/>
        </w:rPr>
      </w:pPr>
      <w:r w:rsidRPr="00614EF9">
        <w:rPr>
          <w:lang w:val="fr-FR"/>
        </w:rPr>
        <w:t>L’ARCEP notifie individuellement à chaque assignataire impacté la décision de libération de la bande. La notification précise la bande concernée, les assignations visées, la ou les bandes de repli retenues, la date limite de libération effective, le financement mis en place, les modalités d'accompagnement applicables ainsi que les voies de recours ouvertes.</w:t>
      </w:r>
    </w:p>
    <w:p w14:paraId="5BBBC92C" w14:textId="77777777" w:rsidR="00C31F4A" w:rsidRPr="00614EF9" w:rsidRDefault="009514E2" w:rsidP="0066730D">
      <w:pPr>
        <w:pStyle w:val="Titre3"/>
        <w:rPr>
          <w:lang w:val="fr-FR"/>
        </w:rPr>
      </w:pPr>
      <w:bookmarkStart w:id="155" w:name="_Toc240614404"/>
      <w:r w:rsidRPr="00614EF9">
        <w:rPr>
          <w:lang w:val="fr-FR"/>
        </w:rPr>
        <w:t>Durée de préavis</w:t>
      </w:r>
      <w:bookmarkEnd w:id="155"/>
    </w:p>
    <w:p w14:paraId="4E217A45" w14:textId="1378367C" w:rsidR="003A2650" w:rsidRPr="00614EF9" w:rsidRDefault="009514E2">
      <w:pPr>
        <w:spacing w:before="60"/>
        <w:rPr>
          <w:lang w:val="fr-FR"/>
        </w:rPr>
      </w:pPr>
      <w:r w:rsidRPr="00614EF9">
        <w:rPr>
          <w:lang w:val="fr-FR"/>
        </w:rPr>
        <w:t>Le préavis court à compter de la notification. Sa durée est différenciée selon la nature du service et la complexité des opérations à conduire.</w:t>
      </w:r>
      <w:r w:rsidR="007F7C0A" w:rsidRPr="00614EF9">
        <w:rPr>
          <w:lang w:val="fr-FR"/>
        </w:rPr>
        <w:t xml:space="preserve"> La durée de préavis est décrite par le </w:t>
      </w:r>
      <w:r w:rsidR="007F7C0A" w:rsidRPr="00614EF9">
        <w:rPr>
          <w:lang w:val="fr-FR"/>
        </w:rPr>
        <w:fldChar w:fldCharType="begin"/>
      </w:r>
      <w:r w:rsidR="007F7C0A" w:rsidRPr="00614EF9">
        <w:rPr>
          <w:lang w:val="fr-FR"/>
        </w:rPr>
        <w:instrText xml:space="preserve"> REF _Ref240507604 \h </w:instrText>
      </w:r>
      <w:r w:rsidR="008D0439" w:rsidRPr="00614EF9">
        <w:rPr>
          <w:lang w:val="fr-FR"/>
        </w:rPr>
        <w:instrText xml:space="preserve"> \* MERGEFORMAT </w:instrText>
      </w:r>
      <w:r w:rsidR="007F7C0A" w:rsidRPr="00614EF9">
        <w:rPr>
          <w:lang w:val="fr-FR"/>
        </w:rPr>
      </w:r>
      <w:r w:rsidR="007F7C0A" w:rsidRPr="00614EF9">
        <w:rPr>
          <w:lang w:val="fr-FR"/>
        </w:rPr>
        <w:fldChar w:fldCharType="separate"/>
      </w:r>
      <w:r w:rsidR="007F7C0A" w:rsidRPr="00614EF9">
        <w:rPr>
          <w:color w:val="000000" w:themeColor="text1"/>
          <w:lang w:val="fr-FR"/>
        </w:rPr>
        <w:t xml:space="preserve">Tableau </w:t>
      </w:r>
      <w:r w:rsidR="007F7C0A" w:rsidRPr="00614EF9">
        <w:rPr>
          <w:noProof/>
          <w:color w:val="000000" w:themeColor="text1"/>
          <w:lang w:val="fr-FR"/>
        </w:rPr>
        <w:t>16</w:t>
      </w:r>
      <w:r w:rsidR="007F7C0A" w:rsidRPr="00614EF9">
        <w:rPr>
          <w:lang w:val="fr-FR"/>
        </w:rPr>
        <w:fldChar w:fldCharType="end"/>
      </w:r>
      <w:r w:rsidR="007F7C0A" w:rsidRPr="00614EF9">
        <w:rPr>
          <w:lang w:val="fr-FR"/>
        </w:rPr>
        <w:t>.</w:t>
      </w:r>
    </w:p>
    <w:tbl>
      <w:tblPr>
        <w:tblStyle w:val="TableauGrille4-Accentuation3"/>
        <w:tblW w:w="9638" w:type="dxa"/>
        <w:jc w:val="center"/>
        <w:tblLayout w:type="fixed"/>
        <w:tblLook w:val="04A0" w:firstRow="1" w:lastRow="0" w:firstColumn="1" w:lastColumn="0" w:noHBand="0" w:noVBand="1"/>
      </w:tblPr>
      <w:tblGrid>
        <w:gridCol w:w="3000"/>
        <w:gridCol w:w="1800"/>
        <w:gridCol w:w="4838"/>
      </w:tblGrid>
      <w:tr w:rsidR="003A2650" w:rsidRPr="00614EF9" w14:paraId="1D3EC8E2"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000" w:type="dxa"/>
            <w:tcMar>
              <w:top w:w="40" w:type="dxa"/>
              <w:bottom w:w="40" w:type="dxa"/>
            </w:tcMar>
          </w:tcPr>
          <w:p w14:paraId="755C885F" w14:textId="77777777" w:rsidR="003A2650" w:rsidRPr="00614EF9" w:rsidRDefault="009514E2">
            <w:pPr>
              <w:spacing w:before="20" w:after="20"/>
              <w:rPr>
                <w:lang w:val="fr-FR"/>
              </w:rPr>
            </w:pPr>
            <w:r w:rsidRPr="00614EF9">
              <w:rPr>
                <w:color w:val="FFFFFF"/>
                <w:sz w:val="18"/>
                <w:szCs w:val="18"/>
                <w:lang w:val="fr-FR"/>
              </w:rPr>
              <w:t>Catégorie d'assignataire</w:t>
            </w:r>
          </w:p>
        </w:tc>
        <w:tc>
          <w:tcPr>
            <w:tcW w:w="1800" w:type="dxa"/>
            <w:tcMar>
              <w:top w:w="40" w:type="dxa"/>
              <w:bottom w:w="40" w:type="dxa"/>
            </w:tcMar>
          </w:tcPr>
          <w:p w14:paraId="79E8A682"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Préavis proposé</w:t>
            </w:r>
          </w:p>
        </w:tc>
        <w:tc>
          <w:tcPr>
            <w:tcW w:w="4838" w:type="dxa"/>
            <w:tcMar>
              <w:top w:w="40" w:type="dxa"/>
              <w:bottom w:w="40" w:type="dxa"/>
            </w:tcMar>
          </w:tcPr>
          <w:p w14:paraId="6D48CF1F"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Justification</w:t>
            </w:r>
          </w:p>
        </w:tc>
      </w:tr>
      <w:tr w:rsidR="003A2650" w:rsidRPr="00614EF9" w14:paraId="5CB83C60"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0" w:type="dxa"/>
            <w:tcMar>
              <w:top w:w="40" w:type="dxa"/>
              <w:bottom w:w="40" w:type="dxa"/>
            </w:tcMar>
          </w:tcPr>
          <w:p w14:paraId="0CAD39E1" w14:textId="77777777" w:rsidR="003A2650" w:rsidRPr="00614EF9" w:rsidRDefault="009514E2">
            <w:pPr>
              <w:spacing w:before="20" w:after="20"/>
              <w:rPr>
                <w:b w:val="0"/>
                <w:bCs w:val="0"/>
                <w:lang w:val="fr-FR"/>
              </w:rPr>
            </w:pPr>
            <w:r w:rsidRPr="00614EF9">
              <w:rPr>
                <w:b w:val="0"/>
                <w:bCs w:val="0"/>
                <w:sz w:val="18"/>
                <w:szCs w:val="18"/>
                <w:lang w:val="fr-FR"/>
              </w:rPr>
              <w:t>Radiodiffusion télévisuelle analogique</w:t>
            </w:r>
          </w:p>
        </w:tc>
        <w:tc>
          <w:tcPr>
            <w:tcW w:w="1800" w:type="dxa"/>
            <w:tcMar>
              <w:top w:w="40" w:type="dxa"/>
              <w:bottom w:w="40" w:type="dxa"/>
            </w:tcMar>
          </w:tcPr>
          <w:p w14:paraId="6C9233EB"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18 mois</w:t>
            </w:r>
          </w:p>
        </w:tc>
        <w:tc>
          <w:tcPr>
            <w:tcW w:w="4838" w:type="dxa"/>
            <w:tcMar>
              <w:top w:w="40" w:type="dxa"/>
              <w:bottom w:w="40" w:type="dxa"/>
            </w:tcMar>
          </w:tcPr>
          <w:p w14:paraId="3FDEADA4"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Extinction coordonnée, information du public et accompagnement des foyers</w:t>
            </w:r>
          </w:p>
        </w:tc>
      </w:tr>
      <w:tr w:rsidR="003A2650" w:rsidRPr="00614EF9" w14:paraId="09CA1D9D"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3000" w:type="dxa"/>
            <w:tcMar>
              <w:top w:w="40" w:type="dxa"/>
              <w:bottom w:w="40" w:type="dxa"/>
            </w:tcMar>
          </w:tcPr>
          <w:p w14:paraId="22F119E0" w14:textId="77777777" w:rsidR="003A2650" w:rsidRPr="00614EF9" w:rsidRDefault="009514E2">
            <w:pPr>
              <w:spacing w:before="20" w:after="20"/>
              <w:rPr>
                <w:b w:val="0"/>
                <w:bCs w:val="0"/>
                <w:lang w:val="fr-FR"/>
              </w:rPr>
            </w:pPr>
            <w:r w:rsidRPr="00614EF9">
              <w:rPr>
                <w:b w:val="0"/>
                <w:bCs w:val="0"/>
                <w:sz w:val="18"/>
                <w:szCs w:val="18"/>
                <w:lang w:val="fr-FR"/>
              </w:rPr>
              <w:t>Radiodiffusion télévisuelle numérique</w:t>
            </w:r>
          </w:p>
        </w:tc>
        <w:tc>
          <w:tcPr>
            <w:tcW w:w="1800" w:type="dxa"/>
            <w:tcMar>
              <w:top w:w="40" w:type="dxa"/>
              <w:bottom w:w="40" w:type="dxa"/>
            </w:tcMar>
          </w:tcPr>
          <w:p w14:paraId="167A688A"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24 mois</w:t>
            </w:r>
          </w:p>
        </w:tc>
        <w:tc>
          <w:tcPr>
            <w:tcW w:w="4838" w:type="dxa"/>
            <w:tcMar>
              <w:top w:w="40" w:type="dxa"/>
              <w:bottom w:w="40" w:type="dxa"/>
            </w:tcMar>
          </w:tcPr>
          <w:p w14:paraId="71093884"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Coordination GE06, approvisionnement des équipements et double diffusion</w:t>
            </w:r>
          </w:p>
        </w:tc>
      </w:tr>
      <w:tr w:rsidR="003A2650" w:rsidRPr="00614EF9" w14:paraId="6C385D02"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0" w:type="dxa"/>
            <w:tcMar>
              <w:top w:w="40" w:type="dxa"/>
              <w:bottom w:w="40" w:type="dxa"/>
            </w:tcMar>
          </w:tcPr>
          <w:p w14:paraId="29DEB4AD" w14:textId="77777777" w:rsidR="003A2650" w:rsidRPr="00614EF9" w:rsidRDefault="009514E2">
            <w:pPr>
              <w:spacing w:before="20" w:after="20"/>
              <w:rPr>
                <w:b w:val="0"/>
                <w:bCs w:val="0"/>
                <w:lang w:val="fr-FR"/>
              </w:rPr>
            </w:pPr>
            <w:r w:rsidRPr="00614EF9">
              <w:rPr>
                <w:b w:val="0"/>
                <w:bCs w:val="0"/>
                <w:sz w:val="18"/>
                <w:szCs w:val="18"/>
                <w:lang w:val="fr-FR"/>
              </w:rPr>
              <w:t>Réseaux d'accès hertzien fixe</w:t>
            </w:r>
          </w:p>
        </w:tc>
        <w:tc>
          <w:tcPr>
            <w:tcW w:w="1800" w:type="dxa"/>
            <w:tcMar>
              <w:top w:w="40" w:type="dxa"/>
              <w:bottom w:w="40" w:type="dxa"/>
            </w:tcMar>
          </w:tcPr>
          <w:p w14:paraId="5FC623DE" w14:textId="77777777" w:rsidR="003A2650" w:rsidRPr="00614EF9" w:rsidRDefault="00C31F4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24 mois</w:t>
            </w:r>
          </w:p>
        </w:tc>
        <w:tc>
          <w:tcPr>
            <w:tcW w:w="4838" w:type="dxa"/>
            <w:tcMar>
              <w:top w:w="40" w:type="dxa"/>
              <w:bottom w:w="40" w:type="dxa"/>
            </w:tcMar>
          </w:tcPr>
          <w:p w14:paraId="4F5ADF61"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Remplacement des équipements de station de base et des terminaux d'abonnés</w:t>
            </w:r>
          </w:p>
        </w:tc>
      </w:tr>
      <w:tr w:rsidR="003A2650" w:rsidRPr="00614EF9" w14:paraId="24324F45"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3000" w:type="dxa"/>
            <w:tcMar>
              <w:top w:w="40" w:type="dxa"/>
              <w:bottom w:w="40" w:type="dxa"/>
            </w:tcMar>
          </w:tcPr>
          <w:p w14:paraId="49550E96" w14:textId="77777777" w:rsidR="003A2650" w:rsidRPr="00614EF9" w:rsidRDefault="009514E2">
            <w:pPr>
              <w:spacing w:before="20" w:after="20"/>
              <w:rPr>
                <w:b w:val="0"/>
                <w:bCs w:val="0"/>
                <w:lang w:val="fr-FR"/>
              </w:rPr>
            </w:pPr>
            <w:r w:rsidRPr="00614EF9">
              <w:rPr>
                <w:b w:val="0"/>
                <w:bCs w:val="0"/>
                <w:sz w:val="18"/>
                <w:szCs w:val="18"/>
                <w:lang w:val="fr-FR"/>
              </w:rPr>
              <w:t>Stations terriennes du service fixe par satellite</w:t>
            </w:r>
          </w:p>
        </w:tc>
        <w:tc>
          <w:tcPr>
            <w:tcW w:w="1800" w:type="dxa"/>
            <w:tcMar>
              <w:top w:w="40" w:type="dxa"/>
              <w:bottom w:w="40" w:type="dxa"/>
            </w:tcMar>
          </w:tcPr>
          <w:p w14:paraId="5F1D69E1"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12 mois</w:t>
            </w:r>
          </w:p>
        </w:tc>
        <w:tc>
          <w:tcPr>
            <w:tcW w:w="4838" w:type="dxa"/>
            <w:tcMar>
              <w:top w:w="40" w:type="dxa"/>
              <w:bottom w:w="40" w:type="dxa"/>
            </w:tcMar>
          </w:tcPr>
          <w:p w14:paraId="0673D155"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Installation des dispositifs de filtrage ou report de la réception</w:t>
            </w:r>
          </w:p>
        </w:tc>
      </w:tr>
    </w:tbl>
    <w:p w14:paraId="3917D60B" w14:textId="77777777" w:rsidR="00BD2A3B" w:rsidRPr="00614EF9" w:rsidRDefault="00BD2A3B" w:rsidP="00BD2A3B">
      <w:pPr>
        <w:pStyle w:val="Lgende"/>
        <w:spacing w:before="120" w:after="120"/>
        <w:rPr>
          <w:color w:val="000000" w:themeColor="text1"/>
          <w:lang w:val="fr-FR"/>
        </w:rPr>
      </w:pPr>
      <w:bookmarkStart w:id="156" w:name="_Ref240507604"/>
      <w:bookmarkStart w:id="157" w:name="_Toc240614530"/>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16</w:t>
      </w:r>
      <w:r w:rsidRPr="00614EF9">
        <w:rPr>
          <w:color w:val="000000" w:themeColor="text1"/>
          <w:lang w:val="fr-FR"/>
        </w:rPr>
        <w:fldChar w:fldCharType="end"/>
      </w:r>
      <w:r w:rsidRPr="00614EF9">
        <w:rPr>
          <w:color w:val="000000" w:themeColor="text1"/>
          <w:lang w:val="fr-FR"/>
        </w:rPr>
        <w:t>: Durée de préavis par catégorie d’assignataire</w:t>
      </w:r>
      <w:bookmarkEnd w:id="156"/>
      <w:bookmarkEnd w:id="157"/>
    </w:p>
    <w:p w14:paraId="627B44E0" w14:textId="77777777" w:rsidR="003A2650" w:rsidRPr="00614EF9" w:rsidRDefault="009514E2">
      <w:pPr>
        <w:spacing w:before="60"/>
        <w:rPr>
          <w:lang w:val="fr-FR"/>
        </w:rPr>
      </w:pPr>
      <w:r w:rsidRPr="00614EF9">
        <w:rPr>
          <w:lang w:val="fr-FR"/>
        </w:rPr>
        <w:t>Le comité de pilotage peut, sur demande motivée de l'assignataire et au vu de circonstances techniques dûment établies, accorder une prorogation dont il fixe la durée. La prorogation ne peut être accordée qu'une fois.</w:t>
      </w:r>
    </w:p>
    <w:p w14:paraId="2E0E4042" w14:textId="77777777" w:rsidR="007C757E" w:rsidRPr="00614EF9" w:rsidRDefault="00525158" w:rsidP="007D4BE4">
      <w:pPr>
        <w:pStyle w:val="Titre2"/>
        <w:rPr>
          <w:lang w:val="fr-FR"/>
        </w:rPr>
      </w:pPr>
      <w:bookmarkStart w:id="158" w:name="_Toc232062302"/>
      <w:bookmarkStart w:id="159" w:name="_Toc236636379"/>
      <w:bookmarkStart w:id="160" w:name="_Toc240614405"/>
      <w:r w:rsidRPr="00614EF9">
        <w:rPr>
          <w:lang w:val="fr-FR"/>
        </w:rPr>
        <w:t>Phases de la migration</w:t>
      </w:r>
      <w:bookmarkEnd w:id="158"/>
      <w:bookmarkEnd w:id="159"/>
      <w:bookmarkEnd w:id="160"/>
    </w:p>
    <w:p w14:paraId="73C3F99E" w14:textId="77777777" w:rsidR="003A2650" w:rsidRPr="00614EF9" w:rsidRDefault="009514E2">
      <w:pPr>
        <w:spacing w:before="60"/>
        <w:rPr>
          <w:lang w:val="fr-FR"/>
        </w:rPr>
      </w:pPr>
      <w:r w:rsidRPr="00614EF9">
        <w:rPr>
          <w:lang w:val="fr-FR"/>
        </w:rPr>
        <w:t>La migration de chaque assignataire se déroule selon une séquence uniforme, adaptée aux spécificités de chaque volet par la fiche de migration prévue à l'annexe B.</w:t>
      </w:r>
    </w:p>
    <w:p w14:paraId="404C13D7" w14:textId="77777777" w:rsidR="003602B1" w:rsidRPr="00614EF9" w:rsidRDefault="00857484" w:rsidP="007F7C0A">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proofErr w:type="gramStart"/>
      <w:r w:rsidRPr="00614EF9">
        <w:rPr>
          <w:rFonts w:ascii="Century Gothic" w:hAnsi="Century Gothic"/>
          <w:b/>
          <w:bCs/>
          <w:i/>
          <w:iCs/>
          <w:sz w:val="24"/>
          <w:szCs w:val="24"/>
          <w:lang w:val="fr-FR"/>
        </w:rPr>
        <w:t>1:</w:t>
      </w:r>
      <w:proofErr w:type="gramEnd"/>
      <w:r w:rsidRPr="00614EF9">
        <w:rPr>
          <w:rFonts w:ascii="Century Gothic" w:hAnsi="Century Gothic"/>
          <w:b/>
          <w:bCs/>
          <w:i/>
          <w:iCs/>
          <w:sz w:val="24"/>
          <w:szCs w:val="24"/>
          <w:lang w:val="fr-FR"/>
        </w:rPr>
        <w:t xml:space="preserve"> Notification et engagement</w:t>
      </w:r>
    </w:p>
    <w:p w14:paraId="41A1F918" w14:textId="77777777" w:rsidR="003A2650" w:rsidRPr="00614EF9" w:rsidRDefault="009514E2" w:rsidP="007F7C0A">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Notification de la décision de libération, désignation par l’assignataire d’un interlocuteur technique et établissement contradictoire de l’inventaire des installations concernées ;</w:t>
      </w:r>
    </w:p>
    <w:p w14:paraId="7DDDED53" w14:textId="77777777" w:rsidR="003602B1" w:rsidRPr="00614EF9" w:rsidRDefault="00857484" w:rsidP="007F7C0A">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proofErr w:type="gramStart"/>
      <w:r w:rsidRPr="00614EF9">
        <w:rPr>
          <w:rFonts w:ascii="Century Gothic" w:hAnsi="Century Gothic"/>
          <w:b/>
          <w:bCs/>
          <w:i/>
          <w:iCs/>
          <w:sz w:val="24"/>
          <w:szCs w:val="24"/>
          <w:lang w:val="fr-FR"/>
        </w:rPr>
        <w:t>2:</w:t>
      </w:r>
      <w:proofErr w:type="gramEnd"/>
      <w:r w:rsidRPr="00614EF9">
        <w:rPr>
          <w:rFonts w:ascii="Century Gothic" w:hAnsi="Century Gothic"/>
          <w:b/>
          <w:bCs/>
          <w:i/>
          <w:iCs/>
          <w:sz w:val="24"/>
          <w:szCs w:val="24"/>
          <w:lang w:val="fr-FR"/>
        </w:rPr>
        <w:t xml:space="preserve"> Ingénierie et planification</w:t>
      </w:r>
    </w:p>
    <w:p w14:paraId="45E680AA" w14:textId="77777777" w:rsidR="003A2650" w:rsidRPr="00614EF9" w:rsidRDefault="009514E2" w:rsidP="007F7C0A">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Détermination des fréquences de repli, études de compatibilité électromagnétique, engagement de la coordination frontalière lorsqu’elle est requise et arrêt du plan de migration site par site ;</w:t>
      </w:r>
    </w:p>
    <w:p w14:paraId="36E2C8CF" w14:textId="77777777" w:rsidR="003602B1" w:rsidRPr="00614EF9" w:rsidRDefault="00857484" w:rsidP="007F7C0A">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proofErr w:type="gramStart"/>
      <w:r w:rsidRPr="00614EF9">
        <w:rPr>
          <w:rFonts w:ascii="Century Gothic" w:hAnsi="Century Gothic"/>
          <w:b/>
          <w:bCs/>
          <w:i/>
          <w:iCs/>
          <w:sz w:val="24"/>
          <w:szCs w:val="24"/>
          <w:lang w:val="fr-FR"/>
        </w:rPr>
        <w:t>3:</w:t>
      </w:r>
      <w:proofErr w:type="gramEnd"/>
      <w:r w:rsidRPr="00614EF9">
        <w:rPr>
          <w:rFonts w:ascii="Century Gothic" w:hAnsi="Century Gothic"/>
          <w:b/>
          <w:bCs/>
          <w:i/>
          <w:iCs/>
          <w:sz w:val="24"/>
          <w:szCs w:val="24"/>
          <w:lang w:val="fr-FR"/>
        </w:rPr>
        <w:t xml:space="preserve"> Approvisionnement et préparation</w:t>
      </w:r>
    </w:p>
    <w:p w14:paraId="353E78E1" w14:textId="77777777" w:rsidR="003A2650" w:rsidRPr="00614EF9" w:rsidRDefault="009514E2" w:rsidP="007F7C0A">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Acquisition des équipements et dispositifs de filtrage, homologation, essais en laboratoire et préparation des sites ;</w:t>
      </w:r>
    </w:p>
    <w:p w14:paraId="38B014BF" w14:textId="77777777" w:rsidR="003602B1" w:rsidRPr="00614EF9" w:rsidRDefault="00857484" w:rsidP="007F7C0A">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lastRenderedPageBreak/>
        <w:t xml:space="preserve">Étape </w:t>
      </w:r>
      <w:proofErr w:type="gramStart"/>
      <w:r w:rsidRPr="00614EF9">
        <w:rPr>
          <w:rFonts w:ascii="Century Gothic" w:hAnsi="Century Gothic"/>
          <w:b/>
          <w:bCs/>
          <w:i/>
          <w:iCs/>
          <w:sz w:val="24"/>
          <w:szCs w:val="24"/>
          <w:lang w:val="fr-FR"/>
        </w:rPr>
        <w:t>4:</w:t>
      </w:r>
      <w:proofErr w:type="gramEnd"/>
      <w:r w:rsidRPr="00614EF9">
        <w:rPr>
          <w:rFonts w:ascii="Century Gothic" w:hAnsi="Century Gothic"/>
          <w:b/>
          <w:bCs/>
          <w:i/>
          <w:iCs/>
          <w:sz w:val="24"/>
          <w:szCs w:val="24"/>
          <w:lang w:val="fr-FR"/>
        </w:rPr>
        <w:t xml:space="preserve"> Basculement et coexistence temporaire</w:t>
      </w:r>
    </w:p>
    <w:p w14:paraId="5618C864" w14:textId="77777777" w:rsidR="003A2650" w:rsidRPr="00614EF9" w:rsidRDefault="009514E2" w:rsidP="007F7C0A">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 xml:space="preserve">Mise en service sur la bande de repli, période de </w:t>
      </w:r>
      <w:proofErr w:type="spellStart"/>
      <w:r w:rsidRPr="00614EF9">
        <w:rPr>
          <w:rFonts w:ascii="Century Gothic" w:hAnsi="Century Gothic"/>
          <w:i/>
          <w:iCs/>
          <w:sz w:val="24"/>
          <w:szCs w:val="24"/>
          <w:lang w:val="fr-FR"/>
        </w:rPr>
        <w:t>simulcast</w:t>
      </w:r>
      <w:proofErr w:type="spellEnd"/>
      <w:r w:rsidRPr="00614EF9">
        <w:rPr>
          <w:rFonts w:ascii="Century Gothic" w:hAnsi="Century Gothic"/>
          <w:sz w:val="24"/>
          <w:szCs w:val="24"/>
          <w:lang w:val="fr-FR"/>
        </w:rPr>
        <w:t xml:space="preserve"> ou d’exploitation simultanée, information des usagers et mesures de contrôle ;</w:t>
      </w:r>
    </w:p>
    <w:p w14:paraId="0FCC787A" w14:textId="77777777" w:rsidR="003602B1" w:rsidRPr="00614EF9" w:rsidRDefault="00857484" w:rsidP="007F7C0A">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proofErr w:type="gramStart"/>
      <w:r w:rsidRPr="00614EF9">
        <w:rPr>
          <w:rFonts w:ascii="Century Gothic" w:hAnsi="Century Gothic"/>
          <w:b/>
          <w:bCs/>
          <w:i/>
          <w:iCs/>
          <w:sz w:val="24"/>
          <w:szCs w:val="24"/>
          <w:lang w:val="fr-FR"/>
        </w:rPr>
        <w:t>5:</w:t>
      </w:r>
      <w:proofErr w:type="gramEnd"/>
      <w:r w:rsidRPr="00614EF9">
        <w:rPr>
          <w:rFonts w:ascii="Century Gothic" w:hAnsi="Century Gothic"/>
          <w:b/>
          <w:bCs/>
          <w:i/>
          <w:iCs/>
          <w:sz w:val="24"/>
          <w:szCs w:val="24"/>
          <w:lang w:val="fr-FR"/>
        </w:rPr>
        <w:t xml:space="preserve"> Libération et constat</w:t>
      </w:r>
    </w:p>
    <w:p w14:paraId="3236931F" w14:textId="77777777" w:rsidR="003A2650" w:rsidRPr="00614EF9" w:rsidRDefault="009514E2" w:rsidP="007F7C0A">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Arrêt définitif des émissions dans la bande libérée, déclaration de l'assignataire et constat contradictoire.</w:t>
      </w:r>
    </w:p>
    <w:p w14:paraId="72B6EBF1" w14:textId="77777777" w:rsidR="003A2650" w:rsidRPr="00614EF9" w:rsidRDefault="009514E2">
      <w:pPr>
        <w:spacing w:before="60"/>
        <w:rPr>
          <w:lang w:val="fr-FR"/>
        </w:rPr>
      </w:pPr>
      <w:r w:rsidRPr="00614EF9">
        <w:rPr>
          <w:lang w:val="fr-FR"/>
        </w:rPr>
        <w:t>Les opérations sont conduites par phases géographiques successives plutôt que par bascule simultanée sur l'ensemble du territoire, afin de concentrer les moyens de contrôle, de limiter l'exposition au risque d'interruption et de tirer parti du retour d'expérience des premières zones traitées.</w:t>
      </w:r>
    </w:p>
    <w:p w14:paraId="6E867B07" w14:textId="77777777" w:rsidR="007C757E" w:rsidRPr="00614EF9" w:rsidRDefault="009514E2" w:rsidP="007D4BE4">
      <w:pPr>
        <w:pStyle w:val="Titre2"/>
        <w:rPr>
          <w:lang w:val="fr-FR"/>
        </w:rPr>
      </w:pPr>
      <w:bookmarkStart w:id="161" w:name="_Toc232062303"/>
      <w:bookmarkStart w:id="162" w:name="_Toc236636380"/>
      <w:bookmarkStart w:id="163" w:name="_Toc240614406"/>
      <w:r w:rsidRPr="00614EF9">
        <w:rPr>
          <w:lang w:val="fr-FR"/>
        </w:rPr>
        <w:t>Coexistence temporaire et gestion des brouillages</w:t>
      </w:r>
      <w:bookmarkEnd w:id="161"/>
      <w:bookmarkEnd w:id="162"/>
      <w:bookmarkEnd w:id="163"/>
    </w:p>
    <w:p w14:paraId="382AACC3" w14:textId="77777777" w:rsidR="00F060FC" w:rsidRPr="00614EF9" w:rsidRDefault="00F060FC" w:rsidP="0066730D">
      <w:pPr>
        <w:pStyle w:val="Titre3"/>
        <w:rPr>
          <w:lang w:val="fr-FR"/>
        </w:rPr>
      </w:pPr>
      <w:bookmarkStart w:id="164" w:name="_Toc240614407"/>
      <w:r w:rsidRPr="00614EF9">
        <w:rPr>
          <w:lang w:val="fr-FR"/>
        </w:rPr>
        <w:t>Cas de la radiodiffusion télévisuelle</w:t>
      </w:r>
      <w:bookmarkEnd w:id="164"/>
    </w:p>
    <w:p w14:paraId="583279FF" w14:textId="77777777" w:rsidR="00A9099E" w:rsidRPr="00614EF9" w:rsidRDefault="009514E2">
      <w:pPr>
        <w:spacing w:before="60"/>
        <w:rPr>
          <w:lang w:val="fr-FR"/>
        </w:rPr>
      </w:pPr>
      <w:r w:rsidRPr="00614EF9">
        <w:rPr>
          <w:lang w:val="fr-FR"/>
        </w:rPr>
        <w:t xml:space="preserve">La continuité de réception est assurée, pour la radiodiffusion télévisuelle, par une période de </w:t>
      </w:r>
      <w:proofErr w:type="spellStart"/>
      <w:r w:rsidRPr="00614EF9">
        <w:rPr>
          <w:lang w:val="fr-FR"/>
        </w:rPr>
        <w:t>simulcast</w:t>
      </w:r>
      <w:proofErr w:type="spellEnd"/>
      <w:r w:rsidRPr="00614EF9">
        <w:rPr>
          <w:lang w:val="fr-FR"/>
        </w:rPr>
        <w:t xml:space="preserve"> pendant laquelle les programmes sont émis simultanément sur l'ancienne et la nouvelle fréquence. </w:t>
      </w:r>
    </w:p>
    <w:p w14:paraId="237F1E94" w14:textId="77777777" w:rsidR="00F060FC" w:rsidRPr="00614EF9" w:rsidRDefault="00F060FC">
      <w:pPr>
        <w:spacing w:before="60"/>
        <w:rPr>
          <w:lang w:val="fr-FR"/>
        </w:rPr>
      </w:pPr>
      <w:r w:rsidRPr="00614EF9">
        <w:rPr>
          <w:lang w:val="fr-FR"/>
        </w:rPr>
        <w:t xml:space="preserve">Pour les quatre localités où l'extinction de la diffusion analogique n'est relayée par aucun émetteur numérique, le </w:t>
      </w:r>
      <w:proofErr w:type="spellStart"/>
      <w:r w:rsidRPr="00614EF9">
        <w:rPr>
          <w:lang w:val="fr-FR"/>
        </w:rPr>
        <w:t>simulcast</w:t>
      </w:r>
      <w:proofErr w:type="spellEnd"/>
      <w:r w:rsidRPr="00614EF9">
        <w:rPr>
          <w:lang w:val="fr-FR"/>
        </w:rPr>
        <w:t xml:space="preserve"> est matériellement impossible. La continuité devrait être assurée soit par le déploiement préalable d'une station numérique sur l'un des canaux allotis, soit par la mise à disposition d'une solution de réception alternative au profit des foyers concernés. L'extinction ne peut intervenir avant que l'une ou l'autre de ces mesures ne soit effective.</w:t>
      </w:r>
    </w:p>
    <w:p w14:paraId="5EC4DFAB" w14:textId="77777777" w:rsidR="00F060FC" w:rsidRPr="00614EF9" w:rsidRDefault="00F060FC" w:rsidP="0066730D">
      <w:pPr>
        <w:pStyle w:val="Titre3"/>
        <w:rPr>
          <w:lang w:val="fr-FR"/>
        </w:rPr>
      </w:pPr>
      <w:bookmarkStart w:id="165" w:name="_Toc240614408"/>
      <w:r w:rsidRPr="00614EF9">
        <w:rPr>
          <w:lang w:val="fr-FR"/>
        </w:rPr>
        <w:t>Cas de la radiodiffusion et du service mobile</w:t>
      </w:r>
      <w:bookmarkEnd w:id="165"/>
    </w:p>
    <w:p w14:paraId="41C57D09" w14:textId="77777777" w:rsidR="003A2650" w:rsidRPr="00614EF9" w:rsidRDefault="00A9099E">
      <w:pPr>
        <w:spacing w:before="60"/>
        <w:rPr>
          <w:lang w:val="fr-FR"/>
        </w:rPr>
      </w:pPr>
      <w:r w:rsidRPr="00614EF9">
        <w:rPr>
          <w:lang w:val="fr-FR"/>
        </w:rPr>
        <w:t>Pour chaque bande réaménagée, l’ARCEP établit les paramètres de protection à partir des Recommandations de l’UIT-R et les soumet au comité de pilotage.</w:t>
      </w:r>
    </w:p>
    <w:p w14:paraId="505A9AE9" w14:textId="77777777" w:rsidR="00F060FC" w:rsidRPr="00614EF9" w:rsidRDefault="00F060FC" w:rsidP="0066730D">
      <w:pPr>
        <w:pStyle w:val="Titre3"/>
        <w:rPr>
          <w:lang w:val="fr-FR"/>
        </w:rPr>
      </w:pPr>
      <w:bookmarkStart w:id="166" w:name="_Toc240614409"/>
      <w:r w:rsidRPr="00614EF9">
        <w:rPr>
          <w:lang w:val="fr-FR"/>
        </w:rPr>
        <w:t>Cas de la protection des stations terriennes</w:t>
      </w:r>
      <w:bookmarkEnd w:id="166"/>
    </w:p>
    <w:p w14:paraId="14B26E18" w14:textId="77777777" w:rsidR="00BD10C8" w:rsidRPr="00614EF9" w:rsidRDefault="000A3975">
      <w:pPr>
        <w:spacing w:before="60"/>
        <w:rPr>
          <w:lang w:val="fr-FR"/>
        </w:rPr>
      </w:pPr>
      <w:r w:rsidRPr="00614EF9">
        <w:rPr>
          <w:lang w:val="fr-FR"/>
        </w:rPr>
        <w:t xml:space="preserve">Le périmètre retenu, limité à 3 400-3 600 MHz, supprime tout recouvrement </w:t>
      </w:r>
      <w:proofErr w:type="spellStart"/>
      <w:r w:rsidRPr="00614EF9">
        <w:rPr>
          <w:lang w:val="fr-FR"/>
        </w:rPr>
        <w:t>co</w:t>
      </w:r>
      <w:proofErr w:type="spellEnd"/>
      <w:r w:rsidRPr="00614EF9">
        <w:rPr>
          <w:lang w:val="fr-FR"/>
        </w:rPr>
        <w:t xml:space="preserve">-canal avec les stations terriennes déclarées. Leur protection relève donc exclusivement du canal adjacent. </w:t>
      </w:r>
    </w:p>
    <w:p w14:paraId="3EF5B1EA" w14:textId="0D3711CC" w:rsidR="000A3975" w:rsidRPr="00614EF9" w:rsidRDefault="000A3975">
      <w:pPr>
        <w:spacing w:before="60"/>
        <w:rPr>
          <w:lang w:val="fr-FR"/>
        </w:rPr>
      </w:pPr>
      <w:r w:rsidRPr="00614EF9">
        <w:rPr>
          <w:lang w:val="fr-FR"/>
        </w:rPr>
        <w:t>Les paramètres seront arrêtés au vu de l’étude de compatibilité nationale et appliqués à l’intérieur des zones de coordination.</w:t>
      </w:r>
    </w:p>
    <w:p w14:paraId="72B72C9B" w14:textId="77777777" w:rsidR="00F060FC" w:rsidRPr="00614EF9" w:rsidRDefault="009514E2" w:rsidP="0066730D">
      <w:pPr>
        <w:pStyle w:val="Titre3"/>
        <w:rPr>
          <w:lang w:val="fr-FR"/>
        </w:rPr>
      </w:pPr>
      <w:bookmarkStart w:id="167" w:name="_Toc240614410"/>
      <w:r w:rsidRPr="00614EF9">
        <w:rPr>
          <w:lang w:val="fr-FR"/>
        </w:rPr>
        <w:t>Traitement des brouillages</w:t>
      </w:r>
      <w:bookmarkEnd w:id="167"/>
    </w:p>
    <w:p w14:paraId="783724E6" w14:textId="77777777" w:rsidR="003A2650" w:rsidRPr="00614EF9" w:rsidRDefault="009514E2">
      <w:pPr>
        <w:spacing w:before="60"/>
        <w:rPr>
          <w:lang w:val="fr-FR"/>
        </w:rPr>
      </w:pPr>
      <w:r w:rsidRPr="00614EF9">
        <w:rPr>
          <w:lang w:val="fr-FR"/>
        </w:rPr>
        <w:t>Tout brouillage déclaré pendant la période de transition est instruit par la Direction des Radiocommunications selon une procédure d'urgence.</w:t>
      </w:r>
    </w:p>
    <w:p w14:paraId="768F8FA6" w14:textId="77777777" w:rsidR="007C757E" w:rsidRPr="00614EF9" w:rsidRDefault="009514E2" w:rsidP="007D4BE4">
      <w:pPr>
        <w:pStyle w:val="Titre2"/>
        <w:rPr>
          <w:lang w:val="fr-FR"/>
        </w:rPr>
      </w:pPr>
      <w:bookmarkStart w:id="168" w:name="_Toc232062304"/>
      <w:bookmarkStart w:id="169" w:name="_Toc236636381"/>
      <w:bookmarkStart w:id="170" w:name="_Toc240614411"/>
      <w:r w:rsidRPr="00614EF9">
        <w:rPr>
          <w:lang w:val="fr-FR"/>
        </w:rPr>
        <w:t>Constat de libération</w:t>
      </w:r>
      <w:bookmarkEnd w:id="168"/>
      <w:bookmarkEnd w:id="169"/>
      <w:bookmarkEnd w:id="170"/>
    </w:p>
    <w:p w14:paraId="7C86DC7F" w14:textId="77777777" w:rsidR="003A2650" w:rsidRPr="00614EF9" w:rsidRDefault="009514E2">
      <w:pPr>
        <w:spacing w:before="60"/>
        <w:rPr>
          <w:lang w:val="fr-FR"/>
        </w:rPr>
      </w:pPr>
      <w:r w:rsidRPr="00614EF9">
        <w:rPr>
          <w:lang w:val="fr-FR"/>
        </w:rPr>
        <w:t xml:space="preserve">La libération effective d'une bande est établie selon une procédure en trois </w:t>
      </w:r>
      <w:proofErr w:type="gramStart"/>
      <w:r w:rsidRPr="00614EF9">
        <w:rPr>
          <w:lang w:val="fr-FR"/>
        </w:rPr>
        <w:t>étapes:</w:t>
      </w:r>
      <w:proofErr w:type="gramEnd"/>
    </w:p>
    <w:p w14:paraId="5CC5E474" w14:textId="2EB641C6" w:rsidR="00C1792C" w:rsidRPr="00614EF9" w:rsidRDefault="00BD2A3B" w:rsidP="00BD10C8">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r w:rsidR="00BD10C8" w:rsidRPr="00614EF9">
        <w:rPr>
          <w:rFonts w:ascii="Century Gothic" w:hAnsi="Century Gothic"/>
          <w:b/>
          <w:bCs/>
          <w:i/>
          <w:iCs/>
          <w:sz w:val="24"/>
          <w:szCs w:val="24"/>
          <w:lang w:val="fr-FR"/>
        </w:rPr>
        <w:t>1 :</w:t>
      </w:r>
      <w:r w:rsidRPr="00614EF9">
        <w:rPr>
          <w:rFonts w:ascii="Century Gothic" w:hAnsi="Century Gothic"/>
          <w:b/>
          <w:bCs/>
          <w:i/>
          <w:iCs/>
          <w:sz w:val="24"/>
          <w:szCs w:val="24"/>
          <w:lang w:val="fr-FR"/>
        </w:rPr>
        <w:t xml:space="preserve"> Déclaration de l'assignataire</w:t>
      </w:r>
    </w:p>
    <w:p w14:paraId="2EDA1AC5" w14:textId="77777777" w:rsidR="003A2650" w:rsidRPr="00614EF9" w:rsidRDefault="00BD2A3B" w:rsidP="00BD10C8">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À l’échéance du préavis, l’assignataire adresse à l’ARCEP une déclaration attestant l’arrêt définitif de ses émissions. Elle est accompagnée de l’inventaire des installations démontées, réaccordées ou mises hors service ;</w:t>
      </w:r>
    </w:p>
    <w:p w14:paraId="0041CF3D" w14:textId="0BAAB920" w:rsidR="00C1792C" w:rsidRPr="00614EF9" w:rsidRDefault="00BD2A3B" w:rsidP="00BD10C8">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lastRenderedPageBreak/>
        <w:t xml:space="preserve">Étape </w:t>
      </w:r>
      <w:r w:rsidR="00BD10C8" w:rsidRPr="00614EF9">
        <w:rPr>
          <w:rFonts w:ascii="Century Gothic" w:hAnsi="Century Gothic"/>
          <w:b/>
          <w:bCs/>
          <w:i/>
          <w:iCs/>
          <w:sz w:val="24"/>
          <w:szCs w:val="24"/>
          <w:lang w:val="fr-FR"/>
        </w:rPr>
        <w:t>2 :</w:t>
      </w:r>
      <w:r w:rsidRPr="00614EF9">
        <w:rPr>
          <w:rFonts w:ascii="Century Gothic" w:hAnsi="Century Gothic"/>
          <w:b/>
          <w:bCs/>
          <w:i/>
          <w:iCs/>
          <w:sz w:val="24"/>
          <w:szCs w:val="24"/>
          <w:lang w:val="fr-FR"/>
        </w:rPr>
        <w:t xml:space="preserve"> Campagne de mesures de contrôle</w:t>
      </w:r>
    </w:p>
    <w:p w14:paraId="77B7F833" w14:textId="77777777" w:rsidR="003A2650" w:rsidRPr="00614EF9" w:rsidRDefault="00BD2A3B" w:rsidP="00BD10C8">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L’ARCEP procède à des mesures sur site et par observation du spectre, afin de vérifier l’absence effective d’émission dans la bande libérée ;</w:t>
      </w:r>
    </w:p>
    <w:p w14:paraId="67B9C0B3" w14:textId="77777777" w:rsidR="00C1792C" w:rsidRPr="00614EF9" w:rsidRDefault="00BD2A3B" w:rsidP="00BD10C8">
      <w:pPr>
        <w:pStyle w:val="Paragraphedeliste"/>
        <w:numPr>
          <w:ilvl w:val="0"/>
          <w:numId w:val="1"/>
        </w:numPr>
        <w:spacing w:before="60" w:after="60"/>
        <w:jc w:val="both"/>
        <w:rPr>
          <w:rFonts w:ascii="Century Gothic" w:hAnsi="Century Gothic"/>
          <w:b/>
          <w:bCs/>
          <w:i/>
          <w:iCs/>
          <w:sz w:val="24"/>
          <w:szCs w:val="24"/>
          <w:lang w:val="fr-FR"/>
        </w:rPr>
      </w:pPr>
      <w:r w:rsidRPr="00614EF9">
        <w:rPr>
          <w:rFonts w:ascii="Century Gothic" w:hAnsi="Century Gothic"/>
          <w:b/>
          <w:bCs/>
          <w:i/>
          <w:iCs/>
          <w:sz w:val="24"/>
          <w:szCs w:val="24"/>
          <w:lang w:val="fr-FR"/>
        </w:rPr>
        <w:t xml:space="preserve">Étape </w:t>
      </w:r>
      <w:proofErr w:type="gramStart"/>
      <w:r w:rsidRPr="00614EF9">
        <w:rPr>
          <w:rFonts w:ascii="Century Gothic" w:hAnsi="Century Gothic"/>
          <w:b/>
          <w:bCs/>
          <w:i/>
          <w:iCs/>
          <w:sz w:val="24"/>
          <w:szCs w:val="24"/>
          <w:lang w:val="fr-FR"/>
        </w:rPr>
        <w:t>3:</w:t>
      </w:r>
      <w:proofErr w:type="gramEnd"/>
      <w:r w:rsidRPr="00614EF9">
        <w:rPr>
          <w:rFonts w:ascii="Century Gothic" w:hAnsi="Century Gothic"/>
          <w:b/>
          <w:bCs/>
          <w:i/>
          <w:iCs/>
          <w:sz w:val="24"/>
          <w:szCs w:val="24"/>
          <w:lang w:val="fr-FR"/>
        </w:rPr>
        <w:t xml:space="preserve"> Procès-verbal contradictoire</w:t>
      </w:r>
    </w:p>
    <w:p w14:paraId="5C228B23" w14:textId="77777777" w:rsidR="003A2650" w:rsidRPr="00614EF9" w:rsidRDefault="00BD2A3B" w:rsidP="00BD10C8">
      <w:pPr>
        <w:pStyle w:val="Paragraphedeliste"/>
        <w:spacing w:before="60" w:after="60"/>
        <w:ind w:left="720"/>
        <w:jc w:val="both"/>
        <w:rPr>
          <w:rFonts w:ascii="Century Gothic" w:hAnsi="Century Gothic"/>
          <w:sz w:val="24"/>
          <w:szCs w:val="24"/>
          <w:lang w:val="fr-FR"/>
        </w:rPr>
      </w:pPr>
      <w:r w:rsidRPr="00614EF9">
        <w:rPr>
          <w:rFonts w:ascii="Century Gothic" w:hAnsi="Century Gothic"/>
          <w:sz w:val="24"/>
          <w:szCs w:val="24"/>
          <w:lang w:val="fr-FR"/>
        </w:rPr>
        <w:t>Un procès-verbal est établi et signé par l'ARCEP et l'assignataire. Il consigne les résultats des mesures et vaut constat de libération.</w:t>
      </w:r>
    </w:p>
    <w:p w14:paraId="34409E13" w14:textId="77777777" w:rsidR="007C757E" w:rsidRPr="00614EF9" w:rsidRDefault="009514E2" w:rsidP="007D4BE4">
      <w:pPr>
        <w:pStyle w:val="Titre2"/>
        <w:rPr>
          <w:lang w:val="fr-FR"/>
        </w:rPr>
      </w:pPr>
      <w:bookmarkStart w:id="171" w:name="_Toc232062305"/>
      <w:bookmarkStart w:id="172" w:name="_Toc236636382"/>
      <w:bookmarkStart w:id="173" w:name="_Toc240614412"/>
      <w:r w:rsidRPr="00614EF9">
        <w:rPr>
          <w:lang w:val="fr-FR"/>
        </w:rPr>
        <w:t>Mesures en cas de non-respect</w:t>
      </w:r>
      <w:bookmarkEnd w:id="171"/>
      <w:bookmarkEnd w:id="172"/>
      <w:bookmarkEnd w:id="173"/>
    </w:p>
    <w:p w14:paraId="2DFD0902" w14:textId="2017A30F" w:rsidR="003A2650" w:rsidRPr="00614EF9" w:rsidRDefault="009514E2">
      <w:pPr>
        <w:spacing w:before="60"/>
        <w:rPr>
          <w:lang w:val="fr-FR"/>
        </w:rPr>
      </w:pPr>
      <w:r w:rsidRPr="00614EF9">
        <w:rPr>
          <w:lang w:val="fr-FR"/>
        </w:rPr>
        <w:t>Le défaut de libération d'une bande à l'échéance notifiée, en l'absence de justification recevable, expose l'assignataire à une réponse graduée</w:t>
      </w:r>
      <w:r w:rsidR="00AB037A" w:rsidRPr="00614EF9">
        <w:rPr>
          <w:lang w:val="fr-FR"/>
        </w:rPr>
        <w:t xml:space="preserve">, conformément au </w:t>
      </w:r>
      <w:r w:rsidR="00AB037A" w:rsidRPr="00614EF9">
        <w:rPr>
          <w:lang w:val="fr-FR"/>
        </w:rPr>
        <w:fldChar w:fldCharType="begin"/>
      </w:r>
      <w:r w:rsidR="00AB037A" w:rsidRPr="00614EF9">
        <w:rPr>
          <w:lang w:val="fr-FR"/>
        </w:rPr>
        <w:instrText xml:space="preserve"> REF _Ref240455068 \h </w:instrText>
      </w:r>
      <w:r w:rsidR="00857484" w:rsidRPr="00614EF9">
        <w:rPr>
          <w:lang w:val="fr-FR"/>
        </w:rPr>
        <w:instrText xml:space="preserve"> \* MERGEFORMAT </w:instrText>
      </w:r>
      <w:r w:rsidR="00AB037A" w:rsidRPr="00614EF9">
        <w:rPr>
          <w:lang w:val="fr-FR"/>
        </w:rPr>
      </w:r>
      <w:r w:rsidR="00AB037A"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17</w:t>
      </w:r>
      <w:r w:rsidR="00AB037A" w:rsidRPr="00614EF9">
        <w:rPr>
          <w:lang w:val="fr-FR"/>
        </w:rPr>
        <w:fldChar w:fldCharType="end"/>
      </w:r>
      <w:r w:rsidR="00AB037A" w:rsidRPr="00614EF9">
        <w:rPr>
          <w:lang w:val="fr-FR"/>
        </w:rPr>
        <w:t xml:space="preserve"> ci-dessous.</w:t>
      </w:r>
    </w:p>
    <w:tbl>
      <w:tblPr>
        <w:tblStyle w:val="TableauGrille4-Accentuation3"/>
        <w:tblW w:w="9638" w:type="dxa"/>
        <w:jc w:val="center"/>
        <w:tblLayout w:type="fixed"/>
        <w:tblLook w:val="04A0" w:firstRow="1" w:lastRow="0" w:firstColumn="1" w:lastColumn="0" w:noHBand="0" w:noVBand="1"/>
      </w:tblPr>
      <w:tblGrid>
        <w:gridCol w:w="800"/>
        <w:gridCol w:w="2900"/>
        <w:gridCol w:w="5938"/>
      </w:tblGrid>
      <w:tr w:rsidR="003A2650" w:rsidRPr="00614EF9" w14:paraId="57B94854"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800" w:type="dxa"/>
            <w:tcMar>
              <w:top w:w="40" w:type="dxa"/>
              <w:bottom w:w="40" w:type="dxa"/>
            </w:tcMar>
          </w:tcPr>
          <w:p w14:paraId="5F4F5DDA" w14:textId="77777777" w:rsidR="003A2650" w:rsidRPr="00614EF9" w:rsidRDefault="009514E2">
            <w:pPr>
              <w:spacing w:before="20" w:after="20"/>
              <w:rPr>
                <w:lang w:val="fr-FR"/>
              </w:rPr>
            </w:pPr>
            <w:r w:rsidRPr="00614EF9">
              <w:rPr>
                <w:color w:val="FFFFFF"/>
                <w:sz w:val="18"/>
                <w:szCs w:val="18"/>
                <w:lang w:val="fr-FR"/>
              </w:rPr>
              <w:t>Degré</w:t>
            </w:r>
          </w:p>
        </w:tc>
        <w:tc>
          <w:tcPr>
            <w:tcW w:w="2900" w:type="dxa"/>
            <w:tcMar>
              <w:top w:w="40" w:type="dxa"/>
              <w:bottom w:w="40" w:type="dxa"/>
            </w:tcMar>
          </w:tcPr>
          <w:p w14:paraId="02D06305"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Mesure</w:t>
            </w:r>
          </w:p>
        </w:tc>
        <w:tc>
          <w:tcPr>
            <w:tcW w:w="5938" w:type="dxa"/>
            <w:tcMar>
              <w:top w:w="40" w:type="dxa"/>
              <w:bottom w:w="40" w:type="dxa"/>
            </w:tcMar>
          </w:tcPr>
          <w:p w14:paraId="0F735CBC"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Conditions de mise en œuvre</w:t>
            </w:r>
          </w:p>
        </w:tc>
      </w:tr>
      <w:tr w:rsidR="003A2650" w:rsidRPr="00614EF9" w14:paraId="7B75509E"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0" w:type="dxa"/>
            <w:tcMar>
              <w:top w:w="40" w:type="dxa"/>
              <w:bottom w:w="40" w:type="dxa"/>
            </w:tcMar>
          </w:tcPr>
          <w:p w14:paraId="7A18998D" w14:textId="77777777" w:rsidR="003A2650" w:rsidRPr="00614EF9" w:rsidRDefault="009514E2">
            <w:pPr>
              <w:spacing w:before="20" w:after="20"/>
              <w:rPr>
                <w:lang w:val="fr-FR"/>
              </w:rPr>
            </w:pPr>
            <w:r w:rsidRPr="00614EF9">
              <w:rPr>
                <w:sz w:val="18"/>
                <w:szCs w:val="18"/>
                <w:lang w:val="fr-FR"/>
              </w:rPr>
              <w:t>1</w:t>
            </w:r>
          </w:p>
        </w:tc>
        <w:tc>
          <w:tcPr>
            <w:tcW w:w="2900" w:type="dxa"/>
            <w:tcMar>
              <w:top w:w="40" w:type="dxa"/>
              <w:bottom w:w="40" w:type="dxa"/>
            </w:tcMar>
          </w:tcPr>
          <w:p w14:paraId="1CC7AAAA"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Mise en demeure</w:t>
            </w:r>
          </w:p>
        </w:tc>
        <w:tc>
          <w:tcPr>
            <w:tcW w:w="5938" w:type="dxa"/>
            <w:tcMar>
              <w:top w:w="40" w:type="dxa"/>
              <w:bottom w:w="40" w:type="dxa"/>
            </w:tcMar>
          </w:tcPr>
          <w:p w14:paraId="32EAF993"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Notification d'un délai supplémentaire de mise en conformité, qui ne peut excéder trois mois, assortie de l'obligation de produire un échéancier détaillé</w:t>
            </w:r>
          </w:p>
        </w:tc>
      </w:tr>
      <w:tr w:rsidR="003A2650" w:rsidRPr="00614EF9" w14:paraId="54B9FA88"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800" w:type="dxa"/>
            <w:tcMar>
              <w:top w:w="40" w:type="dxa"/>
              <w:bottom w:w="40" w:type="dxa"/>
            </w:tcMar>
          </w:tcPr>
          <w:p w14:paraId="5EA2C3E5" w14:textId="77777777" w:rsidR="003A2650" w:rsidRPr="00614EF9" w:rsidRDefault="00BD2A3B">
            <w:pPr>
              <w:spacing w:before="20" w:after="20"/>
              <w:rPr>
                <w:lang w:val="fr-FR"/>
              </w:rPr>
            </w:pPr>
            <w:r w:rsidRPr="00614EF9">
              <w:rPr>
                <w:sz w:val="18"/>
                <w:szCs w:val="18"/>
                <w:lang w:val="fr-FR"/>
              </w:rPr>
              <w:t>2</w:t>
            </w:r>
          </w:p>
        </w:tc>
        <w:tc>
          <w:tcPr>
            <w:tcW w:w="2900" w:type="dxa"/>
            <w:tcMar>
              <w:top w:w="40" w:type="dxa"/>
              <w:bottom w:w="40" w:type="dxa"/>
            </w:tcMar>
          </w:tcPr>
          <w:p w14:paraId="254203D5"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Suspension des droits d'assignation</w:t>
            </w:r>
          </w:p>
        </w:tc>
        <w:tc>
          <w:tcPr>
            <w:tcW w:w="5938" w:type="dxa"/>
            <w:tcMar>
              <w:top w:w="40" w:type="dxa"/>
              <w:bottom w:w="40" w:type="dxa"/>
            </w:tcMar>
          </w:tcPr>
          <w:p w14:paraId="7099BB79"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Suspension de l’assignation de fréquences dans la bande concernée, après procédure contradictoire</w:t>
            </w:r>
          </w:p>
        </w:tc>
      </w:tr>
      <w:tr w:rsidR="003A2650" w:rsidRPr="00614EF9" w14:paraId="6C520EEF"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0" w:type="dxa"/>
            <w:tcMar>
              <w:top w:w="40" w:type="dxa"/>
              <w:bottom w:w="40" w:type="dxa"/>
            </w:tcMar>
          </w:tcPr>
          <w:p w14:paraId="7DCD0AB2" w14:textId="77777777" w:rsidR="003A2650" w:rsidRPr="00614EF9" w:rsidRDefault="00BD2A3B">
            <w:pPr>
              <w:spacing w:before="20" w:after="20"/>
              <w:rPr>
                <w:lang w:val="fr-FR"/>
              </w:rPr>
            </w:pPr>
            <w:r w:rsidRPr="00614EF9">
              <w:rPr>
                <w:sz w:val="18"/>
                <w:szCs w:val="18"/>
                <w:lang w:val="fr-FR"/>
              </w:rPr>
              <w:t>3</w:t>
            </w:r>
          </w:p>
        </w:tc>
        <w:tc>
          <w:tcPr>
            <w:tcW w:w="2900" w:type="dxa"/>
            <w:tcMar>
              <w:top w:w="40" w:type="dxa"/>
              <w:bottom w:w="40" w:type="dxa"/>
            </w:tcMar>
          </w:tcPr>
          <w:p w14:paraId="3E203FF5" w14:textId="77777777" w:rsidR="003A2650" w:rsidRPr="00614EF9" w:rsidRDefault="00BD2A3B">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Annulation des droits d'assignation</w:t>
            </w:r>
          </w:p>
        </w:tc>
        <w:tc>
          <w:tcPr>
            <w:tcW w:w="5938" w:type="dxa"/>
            <w:tcMar>
              <w:top w:w="40" w:type="dxa"/>
              <w:bottom w:w="40" w:type="dxa"/>
            </w:tcMar>
          </w:tcPr>
          <w:p w14:paraId="7642660E" w14:textId="77777777" w:rsidR="003A2650" w:rsidRPr="00614EF9" w:rsidRDefault="00BD2A3B">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Annulation de l’assignation de fréquences, en cas de manquement persistant, sans préjudice des autres poursuites prévues par la réglementation</w:t>
            </w:r>
          </w:p>
        </w:tc>
      </w:tr>
    </w:tbl>
    <w:p w14:paraId="2313DD96" w14:textId="77777777" w:rsidR="00AB602B" w:rsidRPr="00614EF9" w:rsidRDefault="00BD2A3B" w:rsidP="00BD2A3B">
      <w:pPr>
        <w:pStyle w:val="Lgende"/>
        <w:spacing w:before="120" w:after="120"/>
        <w:rPr>
          <w:color w:val="000000" w:themeColor="text1"/>
          <w:lang w:val="fr-FR"/>
        </w:rPr>
      </w:pPr>
      <w:bookmarkStart w:id="174" w:name="_Ref240455068"/>
      <w:bookmarkStart w:id="175" w:name="_Toc240614531"/>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17</w:t>
      </w:r>
      <w:r w:rsidRPr="00614EF9">
        <w:rPr>
          <w:color w:val="000000" w:themeColor="text1"/>
          <w:lang w:val="fr-FR"/>
        </w:rPr>
        <w:fldChar w:fldCharType="end"/>
      </w:r>
      <w:r w:rsidRPr="00614EF9">
        <w:rPr>
          <w:color w:val="000000" w:themeColor="text1"/>
          <w:lang w:val="fr-FR"/>
        </w:rPr>
        <w:t>: Sanctions applicables pour défaut de libération</w:t>
      </w:r>
      <w:bookmarkEnd w:id="174"/>
      <w:bookmarkEnd w:id="175"/>
    </w:p>
    <w:p w14:paraId="4C289996" w14:textId="77777777" w:rsidR="00AB602B" w:rsidRPr="00614EF9" w:rsidRDefault="00AB602B" w:rsidP="00AB602B">
      <w:pPr>
        <w:rPr>
          <w:lang w:val="fr-FR"/>
        </w:rPr>
      </w:pPr>
      <w:r w:rsidRPr="00614EF9">
        <w:rPr>
          <w:lang w:val="fr-FR"/>
        </w:rPr>
        <w:br w:type="page"/>
      </w:r>
    </w:p>
    <w:p w14:paraId="4C98DE04" w14:textId="77777777" w:rsidR="007C757E" w:rsidRPr="00614EF9" w:rsidRDefault="009514E2">
      <w:pPr>
        <w:pStyle w:val="Titre1"/>
        <w:rPr>
          <w:lang w:val="fr-FR"/>
        </w:rPr>
      </w:pPr>
      <w:bookmarkStart w:id="176" w:name="_Toc232062306"/>
      <w:bookmarkStart w:id="177" w:name="_Toc236636383"/>
      <w:bookmarkStart w:id="178" w:name="_Toc240614413"/>
      <w:r w:rsidRPr="00614EF9">
        <w:rPr>
          <w:lang w:val="fr-FR"/>
        </w:rPr>
        <w:lastRenderedPageBreak/>
        <w:t>Accompagnement technique et financier</w:t>
      </w:r>
      <w:bookmarkEnd w:id="176"/>
      <w:bookmarkEnd w:id="177"/>
      <w:bookmarkEnd w:id="178"/>
    </w:p>
    <w:p w14:paraId="1F8A2715" w14:textId="77777777" w:rsidR="007C757E" w:rsidRPr="00614EF9" w:rsidRDefault="009514E2" w:rsidP="007D4BE4">
      <w:pPr>
        <w:pStyle w:val="Titre2"/>
        <w:rPr>
          <w:lang w:val="fr-FR"/>
        </w:rPr>
      </w:pPr>
      <w:bookmarkStart w:id="179" w:name="_Toc232062307"/>
      <w:bookmarkStart w:id="180" w:name="_Toc236636384"/>
      <w:bookmarkStart w:id="181" w:name="_Toc240614414"/>
      <w:r w:rsidRPr="00614EF9">
        <w:rPr>
          <w:lang w:val="fr-FR"/>
        </w:rPr>
        <w:t>Mécanisme de financement</w:t>
      </w:r>
      <w:bookmarkEnd w:id="179"/>
      <w:bookmarkEnd w:id="180"/>
      <w:bookmarkEnd w:id="181"/>
    </w:p>
    <w:p w14:paraId="120A0C20" w14:textId="77777777" w:rsidR="003A2650" w:rsidRPr="00614EF9" w:rsidRDefault="009514E2">
      <w:pPr>
        <w:spacing w:before="60"/>
        <w:rPr>
          <w:lang w:val="fr-FR"/>
        </w:rPr>
      </w:pPr>
      <w:r w:rsidRPr="00614EF9">
        <w:rPr>
          <w:lang w:val="fr-FR"/>
        </w:rPr>
        <w:t>Le financement des coûts de migration constitue une condition de faisabilité du plan. Trois mécanismes ont été soumis à consultation : l'application du principe du bénéficiaire-payeur, la constitution d'un fonds national de réaménagement du spectre et un dispositif mixte.</w:t>
      </w:r>
    </w:p>
    <w:p w14:paraId="267FE3A5" w14:textId="77777777" w:rsidR="00AE4620" w:rsidRPr="00614EF9" w:rsidRDefault="009514E2" w:rsidP="0066730D">
      <w:pPr>
        <w:pStyle w:val="Titre3"/>
        <w:rPr>
          <w:lang w:val="fr-FR"/>
        </w:rPr>
      </w:pPr>
      <w:bookmarkStart w:id="182" w:name="_Toc240614415"/>
      <w:r w:rsidRPr="00614EF9">
        <w:rPr>
          <w:lang w:val="fr-FR"/>
        </w:rPr>
        <w:t>Orientation retenue</w:t>
      </w:r>
      <w:bookmarkEnd w:id="182"/>
    </w:p>
    <w:p w14:paraId="134CF761" w14:textId="77777777" w:rsidR="003A2650" w:rsidRPr="00614EF9" w:rsidRDefault="009514E2">
      <w:pPr>
        <w:spacing w:before="60"/>
        <w:rPr>
          <w:lang w:val="fr-FR"/>
        </w:rPr>
      </w:pPr>
      <w:r w:rsidRPr="00614EF9">
        <w:rPr>
          <w:lang w:val="fr-FR"/>
        </w:rPr>
        <w:t>L’ARCEP propose un mécanisme mixte, articulé comme suit.</w:t>
      </w:r>
    </w:p>
    <w:p w14:paraId="0ABAEDD4" w14:textId="41A153E8"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i/>
          <w:iCs/>
          <w:sz w:val="24"/>
          <w:szCs w:val="24"/>
          <w:lang w:val="fr-FR"/>
        </w:rPr>
        <w:t>Principe du bénéficiaire-payeur, à titre principal</w:t>
      </w:r>
      <w:r w:rsidRPr="00614EF9">
        <w:rPr>
          <w:rFonts w:ascii="Century Gothic" w:hAnsi="Century Gothic"/>
          <w:sz w:val="24"/>
          <w:szCs w:val="24"/>
          <w:lang w:val="fr-FR"/>
        </w:rPr>
        <w:t xml:space="preserve"> : les attributaires des bandes libérées contribuent au financement des coûts de migration des assignataires sortants, la charge étant répartie au prorata de la ressource spectrale obtenue. Cette contribution constitue une condition de </w:t>
      </w:r>
      <w:r w:rsidR="009D13FB" w:rsidRPr="00614EF9">
        <w:rPr>
          <w:rFonts w:ascii="Century Gothic" w:hAnsi="Century Gothic"/>
          <w:sz w:val="24"/>
          <w:szCs w:val="24"/>
          <w:lang w:val="fr-FR"/>
        </w:rPr>
        <w:t>l’attribution ;</w:t>
      </w:r>
    </w:p>
    <w:p w14:paraId="40428A39" w14:textId="25F7F4DB"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i/>
          <w:iCs/>
          <w:sz w:val="24"/>
          <w:szCs w:val="24"/>
          <w:lang w:val="fr-FR"/>
        </w:rPr>
        <w:t>Fonds national de réaménagement du spectre, à titre complémentaire</w:t>
      </w:r>
      <w:r w:rsidRPr="00614EF9">
        <w:rPr>
          <w:rFonts w:ascii="Century Gothic" w:hAnsi="Century Gothic"/>
          <w:sz w:val="24"/>
          <w:szCs w:val="24"/>
          <w:lang w:val="fr-FR"/>
        </w:rPr>
        <w:t xml:space="preserve"> : alimenté par une fraction des produits de la réallocation, ce fonds prend en charge les coûts d'intérêt général qui ne peuvent être rattachés à un attributaire déterminé, notamment l'information du public, l'accompagnement des foyers et les campagnes de </w:t>
      </w:r>
      <w:r w:rsidR="009D13FB" w:rsidRPr="00614EF9">
        <w:rPr>
          <w:rFonts w:ascii="Century Gothic" w:hAnsi="Century Gothic"/>
          <w:sz w:val="24"/>
          <w:szCs w:val="24"/>
          <w:lang w:val="fr-FR"/>
        </w:rPr>
        <w:t>mesures ;</w:t>
      </w:r>
    </w:p>
    <w:p w14:paraId="53BD8CFD"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i/>
          <w:iCs/>
          <w:sz w:val="24"/>
          <w:szCs w:val="24"/>
          <w:lang w:val="fr-FR"/>
        </w:rPr>
        <w:t xml:space="preserve">Concours de l'assignataire </w:t>
      </w:r>
      <w:r w:rsidRPr="00614EF9">
        <w:rPr>
          <w:rFonts w:ascii="Century Gothic" w:hAnsi="Century Gothic"/>
          <w:sz w:val="24"/>
          <w:szCs w:val="24"/>
          <w:lang w:val="fr-FR"/>
        </w:rPr>
        <w:t>: les dépenses correspondant au renouvellement d'équipements en fin de vie, ou procurant à l'assignataire une amélioration de capacité ou de qualité excédant le rétablissement à l'identique, demeurent à sa charge.</w:t>
      </w:r>
    </w:p>
    <w:p w14:paraId="29D6AF69" w14:textId="77777777" w:rsidR="00AE4620" w:rsidRPr="00614EF9" w:rsidRDefault="009514E2" w:rsidP="0066730D">
      <w:pPr>
        <w:pStyle w:val="Titre3"/>
        <w:rPr>
          <w:lang w:val="fr-FR"/>
        </w:rPr>
      </w:pPr>
      <w:bookmarkStart w:id="183" w:name="_Toc240614416"/>
      <w:r w:rsidRPr="00614EF9">
        <w:rPr>
          <w:lang w:val="fr-FR"/>
        </w:rPr>
        <w:t>Gouvernance</w:t>
      </w:r>
      <w:bookmarkEnd w:id="183"/>
    </w:p>
    <w:p w14:paraId="2C141F65" w14:textId="77777777" w:rsidR="003A2650" w:rsidRPr="00614EF9" w:rsidRDefault="009514E2">
      <w:pPr>
        <w:spacing w:before="60"/>
        <w:rPr>
          <w:lang w:val="fr-FR"/>
        </w:rPr>
      </w:pPr>
      <w:r w:rsidRPr="00614EF9">
        <w:rPr>
          <w:lang w:val="fr-FR"/>
        </w:rPr>
        <w:t>Le fonds est géré par l'A</w:t>
      </w:r>
      <w:r w:rsidR="00525158" w:rsidRPr="00614EF9">
        <w:rPr>
          <w:lang w:val="fr-FR"/>
        </w:rPr>
        <w:t>RCEP</w:t>
      </w:r>
      <w:r w:rsidRPr="00614EF9">
        <w:rPr>
          <w:lang w:val="fr-FR"/>
        </w:rPr>
        <w:t xml:space="preserve"> sous le contrôle du comité de pilotage. Son emploi fait l'objet d'un rapport annuel.</w:t>
      </w:r>
    </w:p>
    <w:p w14:paraId="1B052DC6" w14:textId="77777777" w:rsidR="00AE4620" w:rsidRPr="00614EF9" w:rsidRDefault="009514E2" w:rsidP="0066730D">
      <w:pPr>
        <w:pStyle w:val="Titre3"/>
        <w:rPr>
          <w:lang w:val="fr-FR"/>
        </w:rPr>
      </w:pPr>
      <w:bookmarkStart w:id="184" w:name="_Toc240614417"/>
      <w:r w:rsidRPr="00614EF9">
        <w:rPr>
          <w:lang w:val="fr-FR"/>
        </w:rPr>
        <w:t>Séquencement des ressources</w:t>
      </w:r>
      <w:bookmarkEnd w:id="184"/>
    </w:p>
    <w:p w14:paraId="30B9D4BB" w14:textId="3F42CE23" w:rsidR="005C3193" w:rsidRPr="00614EF9" w:rsidRDefault="009514E2">
      <w:pPr>
        <w:spacing w:before="60"/>
        <w:rPr>
          <w:lang w:val="fr-FR"/>
        </w:rPr>
      </w:pPr>
      <w:r w:rsidRPr="00614EF9">
        <w:rPr>
          <w:lang w:val="fr-FR"/>
        </w:rPr>
        <w:t xml:space="preserve">Le principe du bénéficiaire-payeur suppose que les attributaires soient désignés, ce qui n’intervient qu’en </w:t>
      </w:r>
      <w:hyperlink w:anchor="_Phase_3,_Réallocation" w:history="1">
        <w:r w:rsidR="005C3193" w:rsidRPr="00614EF9">
          <w:rPr>
            <w:rStyle w:val="Lienhypertexte"/>
            <w:lang w:val="fr-FR"/>
          </w:rPr>
          <w:t>phase 3</w:t>
        </w:r>
      </w:hyperlink>
      <w:r w:rsidRPr="00614EF9">
        <w:rPr>
          <w:lang w:val="fr-FR"/>
        </w:rPr>
        <w:t xml:space="preserve">. Or les dépenses de migration sont engagées en </w:t>
      </w:r>
      <w:hyperlink w:anchor="_Phase_2,_Libération" w:history="1">
        <w:r w:rsidR="005C3193" w:rsidRPr="00614EF9">
          <w:rPr>
            <w:rStyle w:val="Lienhypertexte"/>
            <w:lang w:val="fr-FR"/>
          </w:rPr>
          <w:t>phase 2</w:t>
        </w:r>
      </w:hyperlink>
      <w:r w:rsidRPr="00614EF9">
        <w:rPr>
          <w:lang w:val="fr-FR"/>
        </w:rPr>
        <w:t xml:space="preserve"> : les ressources seraient donc constituées après les dépenses qu’elles doivent couvrir.</w:t>
      </w:r>
      <w:r w:rsidR="009D13FB" w:rsidRPr="00614EF9">
        <w:rPr>
          <w:lang w:val="fr-FR"/>
        </w:rPr>
        <w:t xml:space="preserve"> </w:t>
      </w:r>
    </w:p>
    <w:p w14:paraId="6422CE91" w14:textId="77777777" w:rsidR="003A2650" w:rsidRPr="00614EF9" w:rsidRDefault="009514E2">
      <w:pPr>
        <w:spacing w:before="60"/>
        <w:rPr>
          <w:lang w:val="fr-FR"/>
        </w:rPr>
      </w:pPr>
      <w:r w:rsidRPr="00614EF9">
        <w:rPr>
          <w:lang w:val="fr-FR"/>
        </w:rPr>
        <w:t>Pour lever cette difficulté, la recevabilité des candidatures à l’attribution des bandes libérées est subordonnée au versement préalable d’une contribution consignée. Son montant est fixé par voie de consultation et libéré au fur et à mesure de l’exécution des opérations de migration.</w:t>
      </w:r>
    </w:p>
    <w:p w14:paraId="265B7934" w14:textId="77777777" w:rsidR="00AE4620" w:rsidRPr="00614EF9" w:rsidRDefault="009514E2" w:rsidP="0066730D">
      <w:pPr>
        <w:pStyle w:val="Titre3"/>
        <w:rPr>
          <w:lang w:val="fr-FR"/>
        </w:rPr>
      </w:pPr>
      <w:bookmarkStart w:id="185" w:name="_Toc240614418"/>
      <w:r w:rsidRPr="00614EF9">
        <w:rPr>
          <w:lang w:val="fr-FR"/>
        </w:rPr>
        <w:t>Demande de rétribution du dividende numérique</w:t>
      </w:r>
      <w:bookmarkEnd w:id="185"/>
    </w:p>
    <w:p w14:paraId="1E458248" w14:textId="77777777" w:rsidR="005C3193" w:rsidRPr="00614EF9" w:rsidRDefault="003A5463">
      <w:pPr>
        <w:spacing w:before="60"/>
        <w:rPr>
          <w:lang w:val="fr-FR"/>
        </w:rPr>
      </w:pPr>
      <w:r w:rsidRPr="00614EF9">
        <w:rPr>
          <w:lang w:val="fr-FR"/>
        </w:rPr>
        <w:t>Pour les bandes 600 et 700 MHz, TDN demande une rétribution au titre du dividende numérique, c’est-à-dire une participation au produit de la réallocation des bandes qu’il libère.</w:t>
      </w:r>
    </w:p>
    <w:p w14:paraId="6BA3B515" w14:textId="05CEE4A7" w:rsidR="00AD6608" w:rsidRPr="00614EF9" w:rsidRDefault="009514E2">
      <w:pPr>
        <w:spacing w:before="60"/>
        <w:rPr>
          <w:lang w:val="fr-FR"/>
        </w:rPr>
      </w:pPr>
      <w:r w:rsidRPr="00614EF9">
        <w:rPr>
          <w:lang w:val="fr-FR"/>
        </w:rPr>
        <w:t xml:space="preserve">Cette demande se distingue de l’indemnisation des coûts de migration traitée à la section </w:t>
      </w:r>
      <w:r w:rsidR="009D13FB" w:rsidRPr="00614EF9">
        <w:rPr>
          <w:lang w:val="fr-FR"/>
        </w:rPr>
        <w:fldChar w:fldCharType="begin"/>
      </w:r>
      <w:r w:rsidR="009D13FB" w:rsidRPr="00614EF9">
        <w:rPr>
          <w:lang w:val="fr-FR"/>
        </w:rPr>
        <w:instrText xml:space="preserve"> REF _Ref240507934 \r \h </w:instrText>
      </w:r>
      <w:r w:rsidR="008D0439" w:rsidRPr="00614EF9">
        <w:rPr>
          <w:lang w:val="fr-FR"/>
        </w:rPr>
        <w:instrText xml:space="preserve"> \* MERGEFORMAT </w:instrText>
      </w:r>
      <w:r w:rsidR="009D13FB" w:rsidRPr="00614EF9">
        <w:rPr>
          <w:lang w:val="fr-FR"/>
        </w:rPr>
      </w:r>
      <w:r w:rsidR="009D13FB" w:rsidRPr="00614EF9">
        <w:rPr>
          <w:lang w:val="fr-FR"/>
        </w:rPr>
        <w:fldChar w:fldCharType="separate"/>
      </w:r>
      <w:r w:rsidR="009D13FB" w:rsidRPr="00614EF9">
        <w:rPr>
          <w:lang w:val="fr-FR"/>
        </w:rPr>
        <w:t>6.2</w:t>
      </w:r>
      <w:r w:rsidR="009D13FB" w:rsidRPr="00614EF9">
        <w:rPr>
          <w:lang w:val="fr-FR"/>
        </w:rPr>
        <w:fldChar w:fldCharType="end"/>
      </w:r>
      <w:r w:rsidRPr="00614EF9">
        <w:rPr>
          <w:lang w:val="fr-FR"/>
        </w:rPr>
        <w:t xml:space="preserve">: elle relève d’un partage de la valeur créée et non d’un remboursement </w:t>
      </w:r>
      <w:r w:rsidRPr="00614EF9">
        <w:rPr>
          <w:lang w:val="fr-FR"/>
        </w:rPr>
        <w:lastRenderedPageBreak/>
        <w:t>de dépenses. Elle ne saurait donc être satisfaite par le fonds de réaménagement, dont l’objet est la couverture des coûts.</w:t>
      </w:r>
      <w:r w:rsidR="003A5463" w:rsidRPr="00614EF9">
        <w:rPr>
          <w:lang w:val="fr-FR"/>
        </w:rPr>
        <w:fldChar w:fldCharType="begin"/>
      </w:r>
      <w:r w:rsidR="003A5463" w:rsidRPr="00614EF9">
        <w:rPr>
          <w:lang w:val="fr-FR"/>
        </w:rPr>
        <w:instrText xml:space="preserve"> REF _Ref240459536 \n \h </w:instrText>
      </w:r>
      <w:r w:rsidR="00374048" w:rsidRPr="00614EF9">
        <w:rPr>
          <w:lang w:val="fr-FR"/>
        </w:rPr>
        <w:instrText xml:space="preserve"> \* MERGEFORMAT </w:instrText>
      </w:r>
      <w:r w:rsidR="003A5463" w:rsidRPr="00614EF9">
        <w:rPr>
          <w:lang w:val="fr-FR"/>
        </w:rPr>
      </w:r>
      <w:r w:rsidR="003A5463" w:rsidRPr="00614EF9">
        <w:rPr>
          <w:lang w:val="fr-FR"/>
        </w:rPr>
        <w:fldChar w:fldCharType="separate"/>
      </w:r>
      <w:r w:rsidR="007A7843" w:rsidRPr="00614EF9">
        <w:rPr>
          <w:lang w:val="fr-FR"/>
        </w:rPr>
        <w:t>7.2</w:t>
      </w:r>
      <w:r w:rsidR="003A5463" w:rsidRPr="00614EF9">
        <w:rPr>
          <w:lang w:val="fr-FR"/>
        </w:rPr>
        <w:fldChar w:fldCharType="end"/>
      </w:r>
    </w:p>
    <w:p w14:paraId="0266D7ED" w14:textId="77777777" w:rsidR="007C757E" w:rsidRPr="00614EF9" w:rsidRDefault="009514E2" w:rsidP="007D4BE4">
      <w:pPr>
        <w:pStyle w:val="Titre2"/>
        <w:rPr>
          <w:lang w:val="fr-FR"/>
        </w:rPr>
      </w:pPr>
      <w:bookmarkStart w:id="186" w:name="_Toc232062308"/>
      <w:bookmarkStart w:id="187" w:name="_Toc236636385"/>
      <w:bookmarkStart w:id="188" w:name="_Ref240507934"/>
      <w:bookmarkStart w:id="189" w:name="_Toc240614419"/>
      <w:r w:rsidRPr="00614EF9">
        <w:rPr>
          <w:lang w:val="fr-FR"/>
        </w:rPr>
        <w:t>Évaluation des coûts et indemnisation</w:t>
      </w:r>
      <w:bookmarkEnd w:id="186"/>
      <w:bookmarkEnd w:id="187"/>
      <w:bookmarkEnd w:id="188"/>
      <w:bookmarkEnd w:id="189"/>
    </w:p>
    <w:p w14:paraId="3E7644C9" w14:textId="77777777" w:rsidR="00AE4620" w:rsidRPr="00614EF9" w:rsidRDefault="009514E2" w:rsidP="0066730D">
      <w:pPr>
        <w:pStyle w:val="Titre3"/>
        <w:rPr>
          <w:lang w:val="fr-FR"/>
        </w:rPr>
      </w:pPr>
      <w:bookmarkStart w:id="190" w:name="_Toc240614420"/>
      <w:r w:rsidRPr="00614EF9">
        <w:rPr>
          <w:lang w:val="fr-FR"/>
        </w:rPr>
        <w:t>Catégories de coûts éligibles</w:t>
      </w:r>
      <w:bookmarkEnd w:id="190"/>
    </w:p>
    <w:p w14:paraId="5A39BADF" w14:textId="77777777" w:rsidR="003A2650" w:rsidRPr="00614EF9" w:rsidRDefault="009514E2">
      <w:pPr>
        <w:spacing w:before="60"/>
        <w:rPr>
          <w:lang w:val="fr-FR"/>
        </w:rPr>
      </w:pPr>
      <w:r w:rsidRPr="00614EF9">
        <w:rPr>
          <w:lang w:val="fr-FR"/>
        </w:rPr>
        <w:t>Sont éligibles à une prise en charge les dépenses directement nécessaires au rétablissement du service à l'identique dans la bande de repli :</w:t>
      </w:r>
    </w:p>
    <w:p w14:paraId="73C2E469" w14:textId="77777777" w:rsidR="003A2650" w:rsidRPr="00614EF9" w:rsidRDefault="003A546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Acquisition et installation des équipements d'émission, de filtrage et des systèmes rayonnants rendus nécessaires par le changement de bande ;</w:t>
      </w:r>
    </w:p>
    <w:p w14:paraId="16C18376" w14:textId="77777777" w:rsidR="003A2650" w:rsidRPr="00614EF9" w:rsidRDefault="003A546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Prestations d'ingénierie, études de compatibilité, mesures et homologation ;</w:t>
      </w:r>
    </w:p>
    <w:p w14:paraId="18DD0E53" w14:textId="77777777" w:rsidR="003A2650" w:rsidRPr="00614EF9" w:rsidRDefault="003A546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 xml:space="preserve">Surcoûts d'exploitation transitoire, notamment </w:t>
      </w:r>
      <w:r w:rsidR="00AE4620" w:rsidRPr="00614EF9">
        <w:rPr>
          <w:rFonts w:ascii="Century Gothic" w:hAnsi="Century Gothic"/>
          <w:sz w:val="24"/>
          <w:szCs w:val="24"/>
          <w:lang w:val="fr-FR"/>
        </w:rPr>
        <w:t xml:space="preserve">le </w:t>
      </w:r>
      <w:proofErr w:type="spellStart"/>
      <w:r w:rsidR="00AE4620" w:rsidRPr="00614EF9">
        <w:rPr>
          <w:rFonts w:ascii="Century Gothic" w:hAnsi="Century Gothic"/>
          <w:sz w:val="24"/>
          <w:szCs w:val="24"/>
          <w:lang w:val="fr-FR"/>
        </w:rPr>
        <w:t>simulcast</w:t>
      </w:r>
      <w:proofErr w:type="spellEnd"/>
      <w:r w:rsidRPr="00614EF9">
        <w:rPr>
          <w:rFonts w:ascii="Century Gothic" w:hAnsi="Century Gothic"/>
          <w:sz w:val="24"/>
          <w:szCs w:val="24"/>
          <w:lang w:val="fr-FR"/>
        </w:rPr>
        <w:t xml:space="preserve"> ou l'exploitation simultanée sur deux bandes pendant la période de coexistence ;</w:t>
      </w:r>
    </w:p>
    <w:p w14:paraId="737B526D" w14:textId="77777777" w:rsidR="003A2650" w:rsidRPr="00614EF9" w:rsidRDefault="003A546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Information des usagers et accompagnement des foyers, lorsque la migration emporte une intervention de leur part ;</w:t>
      </w:r>
    </w:p>
    <w:p w14:paraId="5D161C5A" w14:textId="77777777" w:rsidR="003A2650" w:rsidRPr="00614EF9" w:rsidRDefault="003A5463">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Valeur résiduelle non amortie des équipements rendus définitivement inutilisables.</w:t>
      </w:r>
    </w:p>
    <w:p w14:paraId="344A932B" w14:textId="77777777" w:rsidR="00AE4620" w:rsidRPr="00614EF9" w:rsidRDefault="009514E2" w:rsidP="0066730D">
      <w:pPr>
        <w:pStyle w:val="Titre3"/>
        <w:rPr>
          <w:lang w:val="fr-FR"/>
        </w:rPr>
      </w:pPr>
      <w:bookmarkStart w:id="191" w:name="_Toc240614421"/>
      <w:r w:rsidRPr="00614EF9">
        <w:rPr>
          <w:lang w:val="fr-FR"/>
        </w:rPr>
        <w:t>Méthodologie d'évaluation</w:t>
      </w:r>
      <w:bookmarkEnd w:id="191"/>
    </w:p>
    <w:p w14:paraId="2BFCB6BC" w14:textId="77777777" w:rsidR="00FD5166" w:rsidRPr="00614EF9" w:rsidRDefault="009514E2">
      <w:pPr>
        <w:spacing w:before="60"/>
        <w:rPr>
          <w:lang w:val="fr-FR"/>
        </w:rPr>
      </w:pPr>
      <w:r w:rsidRPr="00614EF9">
        <w:rPr>
          <w:lang w:val="fr-FR"/>
        </w:rPr>
        <w:t>Les coûts sont justifiés sur pièces. Ils sont plafonnés par référence au coût d’un rétablissement à l’identique dans des conditions normales de marché.</w:t>
      </w:r>
    </w:p>
    <w:p w14:paraId="18FB032C" w14:textId="77777777" w:rsidR="003A2650" w:rsidRPr="00614EF9" w:rsidRDefault="00FD5166">
      <w:pPr>
        <w:spacing w:before="60"/>
        <w:rPr>
          <w:lang w:val="fr-FR"/>
        </w:rPr>
      </w:pPr>
      <w:r w:rsidRPr="00614EF9">
        <w:rPr>
          <w:lang w:val="fr-FR"/>
        </w:rPr>
        <w:t>L’ARCEP peut recourir à une expertise indépendante lorsque les montants déclarés s'écartent sensiblement des références disponibles.</w:t>
      </w:r>
    </w:p>
    <w:p w14:paraId="70B55D4A" w14:textId="77777777" w:rsidR="00001329" w:rsidRPr="00614EF9" w:rsidRDefault="009514E2" w:rsidP="005C3193">
      <w:pPr>
        <w:pStyle w:val="Titre4"/>
        <w:rPr>
          <w:lang w:val="fr-FR"/>
        </w:rPr>
      </w:pPr>
      <w:bookmarkStart w:id="192" w:name="_Toc240614422"/>
      <w:r w:rsidRPr="00614EF9">
        <w:rPr>
          <w:lang w:val="fr-FR"/>
        </w:rPr>
        <w:t>Coûts déclarés</w:t>
      </w:r>
      <w:bookmarkEnd w:id="192"/>
    </w:p>
    <w:tbl>
      <w:tblPr>
        <w:tblStyle w:val="TableauGrille4-Accentuation3"/>
        <w:tblW w:w="9638" w:type="dxa"/>
        <w:jc w:val="center"/>
        <w:tblLayout w:type="fixed"/>
        <w:tblLook w:val="04A0" w:firstRow="1" w:lastRow="0" w:firstColumn="1" w:lastColumn="0" w:noHBand="0" w:noVBand="1"/>
      </w:tblPr>
      <w:tblGrid>
        <w:gridCol w:w="2200"/>
        <w:gridCol w:w="1764"/>
        <w:gridCol w:w="3336"/>
        <w:gridCol w:w="2338"/>
      </w:tblGrid>
      <w:tr w:rsidR="00001329" w:rsidRPr="00614EF9" w14:paraId="39CD75CC" w14:textId="77777777" w:rsidTr="00FD516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78C8C376" w14:textId="77777777" w:rsidR="00001329" w:rsidRPr="00614EF9" w:rsidRDefault="009514E2">
            <w:pPr>
              <w:spacing w:before="20" w:after="20"/>
              <w:rPr>
                <w:lang w:val="fr-FR"/>
              </w:rPr>
            </w:pPr>
            <w:r w:rsidRPr="00614EF9">
              <w:rPr>
                <w:color w:val="FFFFFF"/>
                <w:sz w:val="18"/>
                <w:szCs w:val="18"/>
                <w:lang w:val="fr-FR"/>
              </w:rPr>
              <w:t>Contributeur</w:t>
            </w:r>
          </w:p>
        </w:tc>
        <w:tc>
          <w:tcPr>
            <w:tcW w:w="1764" w:type="dxa"/>
            <w:tcMar>
              <w:top w:w="40" w:type="dxa"/>
              <w:bottom w:w="40" w:type="dxa"/>
            </w:tcMar>
          </w:tcPr>
          <w:p w14:paraId="48FF6F24"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Volet</w:t>
            </w:r>
          </w:p>
        </w:tc>
        <w:tc>
          <w:tcPr>
            <w:tcW w:w="3336" w:type="dxa"/>
            <w:tcMar>
              <w:top w:w="40" w:type="dxa"/>
              <w:bottom w:w="40" w:type="dxa"/>
            </w:tcMar>
          </w:tcPr>
          <w:p w14:paraId="0A5799DD"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Investissement déclaré</w:t>
            </w:r>
          </w:p>
        </w:tc>
        <w:tc>
          <w:tcPr>
            <w:tcW w:w="2338" w:type="dxa"/>
            <w:tcMar>
              <w:top w:w="40" w:type="dxa"/>
              <w:bottom w:w="40" w:type="dxa"/>
            </w:tcMar>
          </w:tcPr>
          <w:p w14:paraId="5DB66855"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Charges annuelles additionnelles</w:t>
            </w:r>
          </w:p>
        </w:tc>
      </w:tr>
      <w:tr w:rsidR="00001329" w:rsidRPr="00614EF9" w14:paraId="66244488" w14:textId="77777777" w:rsidTr="00FD51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1A2CE2B0" w14:textId="0889A55B" w:rsidR="00001329" w:rsidRPr="00614EF9" w:rsidRDefault="004E0820">
            <w:pPr>
              <w:spacing w:before="20" w:after="20"/>
              <w:rPr>
                <w:b w:val="0"/>
                <w:bCs w:val="0"/>
                <w:lang w:val="fr-FR"/>
              </w:rPr>
            </w:pPr>
            <w:r w:rsidRPr="00614EF9">
              <w:rPr>
                <w:b w:val="0"/>
                <w:bCs w:val="0"/>
                <w:sz w:val="18"/>
                <w:szCs w:val="18"/>
                <w:lang w:val="fr-FR"/>
              </w:rPr>
              <w:t>LIPTINFOR NIGER</w:t>
            </w:r>
          </w:p>
        </w:tc>
        <w:tc>
          <w:tcPr>
            <w:tcW w:w="1764" w:type="dxa"/>
            <w:tcMar>
              <w:top w:w="40" w:type="dxa"/>
              <w:bottom w:w="40" w:type="dxa"/>
            </w:tcMar>
          </w:tcPr>
          <w:p w14:paraId="470129AB"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FWA vers 6 GHz</w:t>
            </w:r>
          </w:p>
        </w:tc>
        <w:tc>
          <w:tcPr>
            <w:tcW w:w="3336" w:type="dxa"/>
            <w:tcMar>
              <w:top w:w="40" w:type="dxa"/>
              <w:bottom w:w="40" w:type="dxa"/>
            </w:tcMar>
          </w:tcPr>
          <w:p w14:paraId="12A853A6"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Au minimum 1 290 842 394 F CFA</w:t>
            </w:r>
          </w:p>
        </w:tc>
        <w:tc>
          <w:tcPr>
            <w:tcW w:w="2338" w:type="dxa"/>
            <w:tcMar>
              <w:top w:w="40" w:type="dxa"/>
              <w:bottom w:w="40" w:type="dxa"/>
            </w:tcMar>
          </w:tcPr>
          <w:p w14:paraId="5E9DC891"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Au minimum 180 000 000 F CFA</w:t>
            </w:r>
          </w:p>
        </w:tc>
      </w:tr>
      <w:tr w:rsidR="00001329" w:rsidRPr="00614EF9" w14:paraId="71CEE232" w14:textId="77777777" w:rsidTr="00FD5166">
        <w:trP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1865F7CA" w14:textId="4D3A0355" w:rsidR="00001329" w:rsidRPr="00614EF9" w:rsidRDefault="004E0820">
            <w:pPr>
              <w:spacing w:before="20" w:after="20"/>
              <w:rPr>
                <w:b w:val="0"/>
                <w:bCs w:val="0"/>
                <w:lang w:val="fr-FR"/>
              </w:rPr>
            </w:pPr>
            <w:r w:rsidRPr="00614EF9">
              <w:rPr>
                <w:b w:val="0"/>
                <w:bCs w:val="0"/>
                <w:sz w:val="18"/>
                <w:szCs w:val="18"/>
                <w:lang w:val="fr-FR"/>
              </w:rPr>
              <w:t>LIPTINFOR NIGER</w:t>
            </w:r>
          </w:p>
        </w:tc>
        <w:tc>
          <w:tcPr>
            <w:tcW w:w="1764" w:type="dxa"/>
            <w:tcMar>
              <w:top w:w="40" w:type="dxa"/>
              <w:bottom w:w="40" w:type="dxa"/>
            </w:tcMar>
          </w:tcPr>
          <w:p w14:paraId="1ADFC6D1"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3,5 GHz</w:t>
            </w:r>
          </w:p>
        </w:tc>
        <w:tc>
          <w:tcPr>
            <w:tcW w:w="3336" w:type="dxa"/>
            <w:tcMar>
              <w:top w:w="40" w:type="dxa"/>
              <w:bottom w:w="40" w:type="dxa"/>
            </w:tcMar>
          </w:tcPr>
          <w:p w14:paraId="15DB0FE1"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Au minimum 11 425 853 F CFA</w:t>
            </w:r>
          </w:p>
        </w:tc>
        <w:tc>
          <w:tcPr>
            <w:tcW w:w="2338" w:type="dxa"/>
            <w:tcMar>
              <w:top w:w="40" w:type="dxa"/>
              <w:bottom w:w="40" w:type="dxa"/>
            </w:tcMar>
          </w:tcPr>
          <w:p w14:paraId="0FFCD6F3"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À chiffrer</w:t>
            </w:r>
          </w:p>
        </w:tc>
      </w:tr>
      <w:tr w:rsidR="00001329" w:rsidRPr="00614EF9" w14:paraId="53C79CB5" w14:textId="77777777" w:rsidTr="00FD51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28C881AA" w14:textId="7649DD2E" w:rsidR="00001329" w:rsidRPr="00614EF9" w:rsidRDefault="004E0820">
            <w:pPr>
              <w:spacing w:before="20" w:after="20"/>
              <w:rPr>
                <w:b w:val="0"/>
                <w:bCs w:val="0"/>
                <w:lang w:val="fr-FR"/>
              </w:rPr>
            </w:pPr>
            <w:r w:rsidRPr="00614EF9">
              <w:rPr>
                <w:b w:val="0"/>
                <w:bCs w:val="0"/>
                <w:sz w:val="18"/>
                <w:szCs w:val="18"/>
                <w:lang w:val="fr-FR"/>
              </w:rPr>
              <w:t>AFR-IX TELECOM</w:t>
            </w:r>
          </w:p>
        </w:tc>
        <w:tc>
          <w:tcPr>
            <w:tcW w:w="1764" w:type="dxa"/>
            <w:tcMar>
              <w:top w:w="40" w:type="dxa"/>
              <w:bottom w:w="40" w:type="dxa"/>
            </w:tcMar>
          </w:tcPr>
          <w:p w14:paraId="2F232702"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FWA vers 6 GHz</w:t>
            </w:r>
          </w:p>
        </w:tc>
        <w:tc>
          <w:tcPr>
            <w:tcW w:w="3336" w:type="dxa"/>
            <w:tcMar>
              <w:top w:w="40" w:type="dxa"/>
              <w:bottom w:w="40" w:type="dxa"/>
            </w:tcMar>
          </w:tcPr>
          <w:p w14:paraId="729C3FCE"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50 000 000 F CFA</w:t>
            </w:r>
          </w:p>
        </w:tc>
        <w:tc>
          <w:tcPr>
            <w:tcW w:w="2338" w:type="dxa"/>
            <w:tcMar>
              <w:top w:w="40" w:type="dxa"/>
              <w:bottom w:w="40" w:type="dxa"/>
            </w:tcMar>
          </w:tcPr>
          <w:p w14:paraId="6F48B7FF" w14:textId="77777777" w:rsidR="00001329" w:rsidRPr="00614EF9" w:rsidRDefault="009514E2" w:rsidP="00FD5166">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3 000 000 F CFA</w:t>
            </w:r>
          </w:p>
        </w:tc>
      </w:tr>
      <w:tr w:rsidR="00001329" w:rsidRPr="00614EF9" w14:paraId="50F580BF" w14:textId="77777777" w:rsidTr="00FD5166">
        <w:trPr>
          <w:jc w:val="center"/>
        </w:trPr>
        <w:tc>
          <w:tcPr>
            <w:cnfStyle w:val="001000000000" w:firstRow="0" w:lastRow="0" w:firstColumn="1" w:lastColumn="0" w:oddVBand="0" w:evenVBand="0" w:oddHBand="0" w:evenHBand="0" w:firstRowFirstColumn="0" w:firstRowLastColumn="0" w:lastRowFirstColumn="0" w:lastRowLastColumn="0"/>
            <w:tcW w:w="2200" w:type="dxa"/>
            <w:tcMar>
              <w:top w:w="40" w:type="dxa"/>
              <w:bottom w:w="40" w:type="dxa"/>
            </w:tcMar>
          </w:tcPr>
          <w:p w14:paraId="2BD3BB53" w14:textId="312CB2F6" w:rsidR="00001329" w:rsidRPr="00614EF9" w:rsidRDefault="004E0820">
            <w:pPr>
              <w:spacing w:before="20" w:after="20"/>
              <w:rPr>
                <w:b w:val="0"/>
                <w:bCs w:val="0"/>
                <w:lang w:val="fr-FR"/>
              </w:rPr>
            </w:pPr>
            <w:r w:rsidRPr="00614EF9">
              <w:rPr>
                <w:b w:val="0"/>
                <w:bCs w:val="0"/>
                <w:sz w:val="18"/>
                <w:szCs w:val="18"/>
                <w:lang w:val="fr-FR"/>
              </w:rPr>
              <w:t>AFR-IX TELECOM</w:t>
            </w:r>
          </w:p>
        </w:tc>
        <w:tc>
          <w:tcPr>
            <w:tcW w:w="1764" w:type="dxa"/>
            <w:tcMar>
              <w:top w:w="40" w:type="dxa"/>
              <w:bottom w:w="40" w:type="dxa"/>
            </w:tcMar>
          </w:tcPr>
          <w:p w14:paraId="74C62462"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3,5 GHz</w:t>
            </w:r>
          </w:p>
        </w:tc>
        <w:tc>
          <w:tcPr>
            <w:tcW w:w="3336" w:type="dxa"/>
            <w:tcMar>
              <w:top w:w="40" w:type="dxa"/>
              <w:bottom w:w="40" w:type="dxa"/>
            </w:tcMar>
          </w:tcPr>
          <w:p w14:paraId="706EBD82"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36 000 000 F CFA</w:t>
            </w:r>
          </w:p>
        </w:tc>
        <w:tc>
          <w:tcPr>
            <w:tcW w:w="2338" w:type="dxa"/>
            <w:tcMar>
              <w:top w:w="40" w:type="dxa"/>
              <w:bottom w:w="40" w:type="dxa"/>
            </w:tcMar>
          </w:tcPr>
          <w:p w14:paraId="63691272" w14:textId="77777777" w:rsidR="00001329" w:rsidRPr="00614EF9" w:rsidRDefault="009514E2" w:rsidP="00FD5166">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2 400 000 F CFA</w:t>
            </w:r>
          </w:p>
        </w:tc>
      </w:tr>
    </w:tbl>
    <w:p w14:paraId="7558F759" w14:textId="77777777" w:rsidR="00001329" w:rsidRPr="00614EF9" w:rsidRDefault="00AB037A" w:rsidP="00AB037A">
      <w:pPr>
        <w:pStyle w:val="Lgende"/>
        <w:spacing w:before="120" w:after="120"/>
        <w:rPr>
          <w:color w:val="000000" w:themeColor="text1"/>
          <w:lang w:val="fr-FR"/>
        </w:rPr>
      </w:pPr>
      <w:bookmarkStart w:id="193" w:name="_Toc240614532"/>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18</w:t>
      </w:r>
      <w:r w:rsidRPr="00614EF9">
        <w:rPr>
          <w:color w:val="000000" w:themeColor="text1"/>
          <w:lang w:val="fr-FR"/>
        </w:rPr>
        <w:fldChar w:fldCharType="end"/>
      </w:r>
      <w:r w:rsidRPr="00614EF9">
        <w:rPr>
          <w:color w:val="000000" w:themeColor="text1"/>
          <w:lang w:val="fr-FR"/>
        </w:rPr>
        <w:t xml:space="preserve">: Coûts déclarés par </w:t>
      </w:r>
      <w:proofErr w:type="spellStart"/>
      <w:r w:rsidRPr="00614EF9">
        <w:rPr>
          <w:color w:val="000000" w:themeColor="text1"/>
          <w:lang w:val="fr-FR"/>
        </w:rPr>
        <w:t>Liptinfor</w:t>
      </w:r>
      <w:proofErr w:type="spellEnd"/>
      <w:r w:rsidRPr="00614EF9">
        <w:rPr>
          <w:color w:val="000000" w:themeColor="text1"/>
          <w:lang w:val="fr-FR"/>
        </w:rPr>
        <w:t xml:space="preserve"> et AFR-IX</w:t>
      </w:r>
      <w:bookmarkEnd w:id="193"/>
    </w:p>
    <w:p w14:paraId="71161AF9" w14:textId="4609A8D9" w:rsidR="00FA398C" w:rsidRPr="00614EF9" w:rsidRDefault="003A5463">
      <w:pPr>
        <w:spacing w:before="60"/>
        <w:rPr>
          <w:lang w:val="fr-FR"/>
        </w:rPr>
      </w:pPr>
      <w:r w:rsidRPr="00614EF9">
        <w:rPr>
          <w:lang w:val="fr-FR"/>
        </w:rPr>
        <w:t xml:space="preserve">À titre illustratif, </w:t>
      </w:r>
      <w:r w:rsidR="004E0820" w:rsidRPr="00614EF9">
        <w:rPr>
          <w:lang w:val="fr-FR"/>
        </w:rPr>
        <w:t xml:space="preserve">LIPTINFOR </w:t>
      </w:r>
      <w:r w:rsidRPr="00614EF9">
        <w:rPr>
          <w:lang w:val="fr-FR"/>
        </w:rPr>
        <w:t xml:space="preserve">évalue la valeur résiduelle de son parc à 76 338 117 francs CFA pour le volet 5 GHz et 28 615 663 francs CFA pour le volet 3,5 GHz, sur la base d'un amortissement de cinq ans. AFR-IX déclare 28 951 000 et 23 800 000 francs CFA, sur la base d'un amortissement de vingt ans. </w:t>
      </w:r>
    </w:p>
    <w:p w14:paraId="7815B638" w14:textId="77777777" w:rsidR="00001329" w:rsidRPr="00614EF9" w:rsidRDefault="009514E2">
      <w:pPr>
        <w:spacing w:before="60"/>
        <w:rPr>
          <w:lang w:val="fr-FR"/>
        </w:rPr>
      </w:pPr>
      <w:r w:rsidRPr="00614EF9">
        <w:rPr>
          <w:lang w:val="fr-FR"/>
        </w:rPr>
        <w:t xml:space="preserve">Cette divergence de durée, dans un rapport </w:t>
      </w:r>
      <w:proofErr w:type="gramStart"/>
      <w:r w:rsidRPr="00614EF9">
        <w:rPr>
          <w:lang w:val="fr-FR"/>
        </w:rPr>
        <w:t>de un</w:t>
      </w:r>
      <w:proofErr w:type="gramEnd"/>
      <w:r w:rsidRPr="00614EF9">
        <w:rPr>
          <w:lang w:val="fr-FR"/>
        </w:rPr>
        <w:t xml:space="preserve"> à quatre, affecte directement le calcul de l'indemnisation et impose de retenir une durée de référence unique, arrêtée par l'A</w:t>
      </w:r>
      <w:r w:rsidR="00FA398C" w:rsidRPr="00614EF9">
        <w:rPr>
          <w:lang w:val="fr-FR"/>
        </w:rPr>
        <w:t>RCEP.</w:t>
      </w:r>
    </w:p>
    <w:p w14:paraId="73FC749B" w14:textId="77777777" w:rsidR="008F021B" w:rsidRPr="00614EF9" w:rsidRDefault="008F021B" w:rsidP="005C3193">
      <w:pPr>
        <w:pStyle w:val="Titre4"/>
        <w:rPr>
          <w:lang w:val="fr-FR"/>
        </w:rPr>
      </w:pPr>
      <w:bookmarkStart w:id="194" w:name="_Toc240614423"/>
      <w:r w:rsidRPr="00614EF9">
        <w:rPr>
          <w:lang w:val="fr-FR"/>
        </w:rPr>
        <w:t>Durée d'amortissement de référence</w:t>
      </w:r>
      <w:bookmarkEnd w:id="194"/>
    </w:p>
    <w:p w14:paraId="37125EA9" w14:textId="77777777" w:rsidR="008F021B" w:rsidRPr="00614EF9" w:rsidRDefault="008F021B" w:rsidP="008F021B">
      <w:pPr>
        <w:spacing w:before="60"/>
        <w:rPr>
          <w:lang w:val="fr-FR"/>
        </w:rPr>
      </w:pPr>
      <w:r w:rsidRPr="00614EF9">
        <w:rPr>
          <w:lang w:val="fr-FR"/>
        </w:rPr>
        <w:t xml:space="preserve">L'ARCEP arrête une durée d'amortissement de référence unique, applicable à l'instruction de tous les dossiers, quelle que soit la pratique comptable de l'assignataire. </w:t>
      </w:r>
    </w:p>
    <w:p w14:paraId="56C65914" w14:textId="77777777" w:rsidR="008F021B" w:rsidRPr="00614EF9" w:rsidRDefault="008F021B">
      <w:pPr>
        <w:spacing w:before="60"/>
        <w:rPr>
          <w:lang w:val="fr-FR"/>
        </w:rPr>
      </w:pPr>
      <w:r w:rsidRPr="00614EF9">
        <w:rPr>
          <w:lang w:val="fr-FR"/>
        </w:rPr>
        <w:lastRenderedPageBreak/>
        <w:t>Cette durée est fixée par décision du comité de pilotage préalablement au dépôt des premiers dossiers.</w:t>
      </w:r>
    </w:p>
    <w:p w14:paraId="12542C62" w14:textId="77777777" w:rsidR="00AE4620" w:rsidRPr="00614EF9" w:rsidRDefault="009514E2" w:rsidP="005C3193">
      <w:pPr>
        <w:pStyle w:val="Titre4"/>
        <w:rPr>
          <w:lang w:val="fr-FR"/>
        </w:rPr>
      </w:pPr>
      <w:bookmarkStart w:id="195" w:name="_Toc240614424"/>
      <w:r w:rsidRPr="00614EF9">
        <w:rPr>
          <w:lang w:val="fr-FR"/>
        </w:rPr>
        <w:t>Procédure</w:t>
      </w:r>
      <w:bookmarkEnd w:id="195"/>
    </w:p>
    <w:p w14:paraId="42377675" w14:textId="77777777" w:rsidR="003A2650" w:rsidRPr="00614EF9" w:rsidRDefault="009514E2">
      <w:pPr>
        <w:spacing w:before="60"/>
        <w:rPr>
          <w:lang w:val="fr-FR"/>
        </w:rPr>
      </w:pPr>
      <w:r w:rsidRPr="00614EF9">
        <w:rPr>
          <w:lang w:val="fr-FR"/>
        </w:rPr>
        <w:t xml:space="preserve">Chaque assignataire dépose un dossier d'indemnisation instruit par </w:t>
      </w:r>
      <w:r w:rsidR="00FD5166" w:rsidRPr="00614EF9">
        <w:rPr>
          <w:lang w:val="fr-FR"/>
        </w:rPr>
        <w:t>l’ARCEP</w:t>
      </w:r>
      <w:r w:rsidRPr="00614EF9">
        <w:rPr>
          <w:lang w:val="fr-FR"/>
        </w:rPr>
        <w:t xml:space="preserve"> et soumis au comité de pilotage. Le versement s'effectue par acomptes au fur et à mesure de l'exécution, le solde étant libéré après constat de libération.</w:t>
      </w:r>
    </w:p>
    <w:p w14:paraId="64C82B96" w14:textId="77777777" w:rsidR="00AE4620" w:rsidRPr="00614EF9" w:rsidRDefault="009514E2" w:rsidP="005C3193">
      <w:pPr>
        <w:pStyle w:val="Titre4"/>
        <w:rPr>
          <w:lang w:val="fr-FR"/>
        </w:rPr>
      </w:pPr>
      <w:bookmarkStart w:id="196" w:name="_Toc240614425"/>
      <w:r w:rsidRPr="00614EF9">
        <w:rPr>
          <w:lang w:val="fr-FR"/>
        </w:rPr>
        <w:t>Garanties de la procédure</w:t>
      </w:r>
      <w:bookmarkEnd w:id="196"/>
    </w:p>
    <w:p w14:paraId="6E3D0576" w14:textId="77777777" w:rsidR="00FD5166" w:rsidRPr="00614EF9" w:rsidRDefault="009514E2">
      <w:pPr>
        <w:spacing w:before="60"/>
        <w:rPr>
          <w:lang w:val="fr-FR"/>
        </w:rPr>
      </w:pPr>
      <w:r w:rsidRPr="00614EF9">
        <w:rPr>
          <w:lang w:val="fr-FR"/>
        </w:rPr>
        <w:t>La procédure retenue offre les garanties suivantes :</w:t>
      </w:r>
    </w:p>
    <w:p w14:paraId="36077641" w14:textId="77777777" w:rsidR="00FD5166" w:rsidRPr="00614EF9" w:rsidRDefault="009514E2" w:rsidP="005C3193">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 gouvernance du fonds et l’association des contributeurs à son suivi ;</w:t>
      </w:r>
    </w:p>
    <w:p w14:paraId="57507527" w14:textId="7836991E" w:rsidR="00FD5166" w:rsidRPr="00614EF9" w:rsidRDefault="009D13FB" w:rsidP="005C3193">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w:t>
      </w:r>
      <w:r w:rsidR="005C3193" w:rsidRPr="00614EF9">
        <w:rPr>
          <w:rFonts w:ascii="Century Gothic" w:hAnsi="Century Gothic"/>
          <w:sz w:val="24"/>
          <w:szCs w:val="24"/>
          <w:lang w:val="fr-FR"/>
        </w:rPr>
        <w:t xml:space="preserve"> vérification contradictoire des coûts sur pièces ; </w:t>
      </w:r>
    </w:p>
    <w:p w14:paraId="44AB3554" w14:textId="5EF6FF33" w:rsidR="00FD5166" w:rsidRPr="00614EF9" w:rsidRDefault="009D13FB" w:rsidP="005C3193">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L’absence</w:t>
      </w:r>
      <w:r w:rsidR="005C3193" w:rsidRPr="00614EF9">
        <w:rPr>
          <w:rFonts w:ascii="Century Gothic" w:hAnsi="Century Gothic"/>
          <w:sz w:val="24"/>
          <w:szCs w:val="24"/>
          <w:lang w:val="fr-FR"/>
        </w:rPr>
        <w:t xml:space="preserve"> de double remboursement d'une même dépense ; </w:t>
      </w:r>
    </w:p>
    <w:p w14:paraId="7729C163" w14:textId="2735878A" w:rsidR="00FD5166" w:rsidRPr="00614EF9" w:rsidRDefault="009D13FB" w:rsidP="005C3193">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w:t>
      </w:r>
      <w:r w:rsidR="005C3193" w:rsidRPr="00614EF9">
        <w:rPr>
          <w:rFonts w:ascii="Century Gothic" w:hAnsi="Century Gothic"/>
          <w:sz w:val="24"/>
          <w:szCs w:val="24"/>
          <w:lang w:val="fr-FR"/>
        </w:rPr>
        <w:t xml:space="preserve"> restitution des excédents éventuels ; et </w:t>
      </w:r>
    </w:p>
    <w:p w14:paraId="17ECE60F" w14:textId="72C3BE2D" w:rsidR="00AD6608" w:rsidRPr="00614EF9" w:rsidRDefault="009D13FB" w:rsidP="005C3193">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Le</w:t>
      </w:r>
      <w:r w:rsidR="005C3193" w:rsidRPr="00614EF9">
        <w:rPr>
          <w:rFonts w:ascii="Century Gothic" w:hAnsi="Century Gothic"/>
          <w:sz w:val="24"/>
          <w:szCs w:val="24"/>
          <w:lang w:val="fr-FR"/>
        </w:rPr>
        <w:t xml:space="preserve"> plafonnement des montants par des barèmes de référence publiés préalablement au dépôt des dossiers, les devis produits étant appréciés contradictoirement au regard de ces barèmes.</w:t>
      </w:r>
    </w:p>
    <w:p w14:paraId="764280EC" w14:textId="77777777" w:rsidR="00AE4620" w:rsidRPr="00614EF9" w:rsidRDefault="009514E2" w:rsidP="0066730D">
      <w:pPr>
        <w:pStyle w:val="Titre3"/>
        <w:rPr>
          <w:lang w:val="fr-FR"/>
        </w:rPr>
      </w:pPr>
      <w:bookmarkStart w:id="197" w:name="_Toc240614426"/>
      <w:r w:rsidRPr="00614EF9">
        <w:rPr>
          <w:lang w:val="fr-FR"/>
        </w:rPr>
        <w:t>Éligibilité des droits de fréquences non consommés</w:t>
      </w:r>
      <w:bookmarkEnd w:id="197"/>
    </w:p>
    <w:p w14:paraId="7E4591CB" w14:textId="77777777" w:rsidR="006568A4" w:rsidRPr="00614EF9" w:rsidRDefault="006568A4">
      <w:pPr>
        <w:spacing w:before="60"/>
        <w:rPr>
          <w:lang w:val="fr-FR"/>
        </w:rPr>
      </w:pPr>
      <w:r w:rsidRPr="00614EF9">
        <w:rPr>
          <w:lang w:val="fr-FR"/>
        </w:rPr>
        <w:t>Lorsque la libération est imposée avant le terme de l'autorisation, la fraction non consommée des droits de fréquences acquittés est inscrite parmi les coûts éligibles.</w:t>
      </w:r>
    </w:p>
    <w:p w14:paraId="32D9D426" w14:textId="79C7BA5E" w:rsidR="006568A4" w:rsidRPr="00614EF9" w:rsidRDefault="006568A4">
      <w:pPr>
        <w:spacing w:before="60"/>
        <w:rPr>
          <w:lang w:val="fr-FR"/>
        </w:rPr>
      </w:pPr>
      <w:r w:rsidRPr="00614EF9">
        <w:rPr>
          <w:lang w:val="fr-FR"/>
        </w:rPr>
        <w:t>Elle est calculée au prorata de la durée résiduelle de l'autorisation, appréciée à la date du constat de libération.</w:t>
      </w:r>
    </w:p>
    <w:p w14:paraId="7989E84D" w14:textId="77777777" w:rsidR="007C757E" w:rsidRPr="00614EF9" w:rsidRDefault="009514E2" w:rsidP="007D4BE4">
      <w:pPr>
        <w:pStyle w:val="Titre2"/>
        <w:rPr>
          <w:lang w:val="fr-FR"/>
        </w:rPr>
      </w:pPr>
      <w:bookmarkStart w:id="198" w:name="_Toc232062309"/>
      <w:bookmarkStart w:id="199" w:name="_Toc236636386"/>
      <w:bookmarkStart w:id="200" w:name="_Toc240614427"/>
      <w:r w:rsidRPr="00614EF9">
        <w:rPr>
          <w:lang w:val="fr-FR"/>
        </w:rPr>
        <w:t>Soutien technique</w:t>
      </w:r>
      <w:bookmarkEnd w:id="198"/>
      <w:bookmarkEnd w:id="199"/>
      <w:bookmarkEnd w:id="200"/>
    </w:p>
    <w:p w14:paraId="3AA1CB0F" w14:textId="77777777" w:rsidR="003A2650" w:rsidRPr="00614EF9" w:rsidRDefault="009514E2">
      <w:pPr>
        <w:spacing w:before="60"/>
        <w:rPr>
          <w:lang w:val="fr-FR"/>
        </w:rPr>
      </w:pPr>
      <w:r w:rsidRPr="00614EF9">
        <w:rPr>
          <w:lang w:val="fr-FR"/>
        </w:rPr>
        <w:t xml:space="preserve">Au-delà du concours financier, </w:t>
      </w:r>
      <w:r w:rsidR="00FD5166" w:rsidRPr="00614EF9">
        <w:rPr>
          <w:lang w:val="fr-FR"/>
        </w:rPr>
        <w:t>l’ARCEP</w:t>
      </w:r>
      <w:r w:rsidRPr="00614EF9">
        <w:rPr>
          <w:lang w:val="fr-FR"/>
        </w:rPr>
        <w:t xml:space="preserve"> apporte aux assignataires impactés un appui technique dont les axes sont les suivants.</w:t>
      </w:r>
    </w:p>
    <w:p w14:paraId="6BF7C64E"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Assistance à l’élimination des causes de brouillage ;</w:t>
      </w:r>
    </w:p>
    <w:p w14:paraId="1B7F7F98" w14:textId="3DF163FE"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 xml:space="preserve">Appui à la </w:t>
      </w:r>
      <w:r w:rsidR="009D13FB" w:rsidRPr="00614EF9">
        <w:rPr>
          <w:rFonts w:ascii="Century Gothic" w:hAnsi="Century Gothic"/>
          <w:sz w:val="24"/>
          <w:szCs w:val="24"/>
          <w:lang w:val="fr-FR"/>
        </w:rPr>
        <w:t>replanification</w:t>
      </w:r>
      <w:r w:rsidRPr="00614EF9">
        <w:rPr>
          <w:rFonts w:ascii="Century Gothic" w:hAnsi="Century Gothic"/>
          <w:sz w:val="24"/>
          <w:szCs w:val="24"/>
          <w:lang w:val="fr-FR"/>
        </w:rPr>
        <w:t xml:space="preserve"> des fréquences de repli ;</w:t>
      </w:r>
    </w:p>
    <w:p w14:paraId="054EBB38"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 xml:space="preserve">Facilitation des procédures administratives </w:t>
      </w:r>
      <w:r w:rsidR="00FD5166" w:rsidRPr="00614EF9">
        <w:rPr>
          <w:rFonts w:ascii="Century Gothic" w:hAnsi="Century Gothic"/>
          <w:sz w:val="24"/>
          <w:szCs w:val="24"/>
          <w:lang w:val="fr-FR"/>
        </w:rPr>
        <w:t>;</w:t>
      </w:r>
    </w:p>
    <w:p w14:paraId="38711462" w14:textId="77777777" w:rsidR="003A2650" w:rsidRPr="00614EF9" w:rsidRDefault="00FD5166">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Conduite des procédures de coordination avec les administrations voisines et représentation auprès du Bureau des radiocommunications de l’UIT ;</w:t>
      </w:r>
    </w:p>
    <w:p w14:paraId="6527C08D"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Diffusion de la documentation technique de référence, notamment sur les mécanismes d'intermodulation et les mesures d'atténuation applicables.</w:t>
      </w:r>
    </w:p>
    <w:p w14:paraId="4112CFF8" w14:textId="77777777" w:rsidR="007C757E" w:rsidRPr="00614EF9" w:rsidRDefault="009514E2" w:rsidP="007D4BE4">
      <w:pPr>
        <w:pStyle w:val="Titre2"/>
        <w:rPr>
          <w:lang w:val="fr-FR"/>
        </w:rPr>
      </w:pPr>
      <w:bookmarkStart w:id="201" w:name="_Toc232062310"/>
      <w:bookmarkStart w:id="202" w:name="_Toc236636387"/>
      <w:bookmarkStart w:id="203" w:name="_Toc240614428"/>
      <w:r w:rsidRPr="00614EF9">
        <w:rPr>
          <w:lang w:val="fr-FR"/>
        </w:rPr>
        <w:t>Incitations à l’adoption des nouvelles technologies</w:t>
      </w:r>
      <w:bookmarkEnd w:id="201"/>
      <w:bookmarkEnd w:id="202"/>
      <w:bookmarkEnd w:id="203"/>
    </w:p>
    <w:p w14:paraId="09C12268" w14:textId="77777777" w:rsidR="00AB602B" w:rsidRPr="00614EF9" w:rsidRDefault="009514E2" w:rsidP="00AB602B">
      <w:pPr>
        <w:spacing w:before="60"/>
        <w:rPr>
          <w:lang w:val="fr-FR"/>
        </w:rPr>
      </w:pPr>
      <w:r w:rsidRPr="00614EF9">
        <w:rPr>
          <w:lang w:val="fr-FR"/>
        </w:rPr>
        <w:t>La transition constitue une occasion d'orienter les acteurs vers des architectures plus efficientes en spectre et vers les technologies filaires à très haut débit.</w:t>
      </w:r>
      <w:r w:rsidRPr="00614EF9">
        <w:rPr>
          <w:lang w:val="fr-FR"/>
        </w:rPr>
        <w:br w:type="page"/>
      </w:r>
    </w:p>
    <w:p w14:paraId="5151A3EE" w14:textId="77777777" w:rsidR="007C757E" w:rsidRPr="00614EF9" w:rsidRDefault="009514E2">
      <w:pPr>
        <w:pStyle w:val="Titre1"/>
        <w:rPr>
          <w:lang w:val="fr-FR"/>
        </w:rPr>
      </w:pPr>
      <w:bookmarkStart w:id="204" w:name="_Toc232062311"/>
      <w:bookmarkStart w:id="205" w:name="_Toc236636388"/>
      <w:bookmarkStart w:id="206" w:name="_Toc240614429"/>
      <w:r w:rsidRPr="00614EF9">
        <w:rPr>
          <w:lang w:val="fr-FR"/>
        </w:rPr>
        <w:lastRenderedPageBreak/>
        <w:t>Réallocation des bandes libérées</w:t>
      </w:r>
      <w:bookmarkEnd w:id="204"/>
      <w:bookmarkEnd w:id="205"/>
      <w:bookmarkEnd w:id="206"/>
    </w:p>
    <w:p w14:paraId="440ACB7C" w14:textId="77777777" w:rsidR="007C757E" w:rsidRPr="00614EF9" w:rsidRDefault="009514E2" w:rsidP="007D4BE4">
      <w:pPr>
        <w:pStyle w:val="Titre2"/>
        <w:rPr>
          <w:lang w:val="fr-FR"/>
        </w:rPr>
      </w:pPr>
      <w:bookmarkStart w:id="207" w:name="_Toc232062312"/>
      <w:bookmarkStart w:id="208" w:name="_Toc236636389"/>
      <w:bookmarkStart w:id="209" w:name="_Toc240614430"/>
      <w:r w:rsidRPr="00614EF9">
        <w:rPr>
          <w:lang w:val="fr-FR"/>
        </w:rPr>
        <w:t>Critères de priorisation</w:t>
      </w:r>
      <w:bookmarkEnd w:id="207"/>
      <w:bookmarkEnd w:id="208"/>
      <w:bookmarkEnd w:id="209"/>
    </w:p>
    <w:p w14:paraId="6D2D2EB5" w14:textId="6D269795" w:rsidR="003A2650" w:rsidRPr="00614EF9" w:rsidRDefault="009514E2">
      <w:pPr>
        <w:spacing w:before="60"/>
        <w:rPr>
          <w:lang w:val="fr-FR"/>
        </w:rPr>
      </w:pPr>
      <w:r w:rsidRPr="00614EF9">
        <w:rPr>
          <w:lang w:val="fr-FR"/>
        </w:rPr>
        <w:t xml:space="preserve">La réallocation des bandes libérées obéit à des critères objectifs, appliqués de manière transparente et vérifiable. Le </w:t>
      </w:r>
      <w:r w:rsidR="009D13FB" w:rsidRPr="00614EF9">
        <w:rPr>
          <w:lang w:val="fr-FR"/>
        </w:rPr>
        <w:fldChar w:fldCharType="begin"/>
      </w:r>
      <w:r w:rsidR="009D13FB" w:rsidRPr="00614EF9">
        <w:rPr>
          <w:lang w:val="fr-FR"/>
        </w:rPr>
        <w:instrText xml:space="preserve"> REF _Ref240508187 \h </w:instrText>
      </w:r>
      <w:r w:rsidR="008D0439" w:rsidRPr="00614EF9">
        <w:rPr>
          <w:lang w:val="fr-FR"/>
        </w:rPr>
        <w:instrText xml:space="preserve"> \* MERGEFORMAT </w:instrText>
      </w:r>
      <w:r w:rsidR="009D13FB" w:rsidRPr="00614EF9">
        <w:rPr>
          <w:lang w:val="fr-FR"/>
        </w:rPr>
      </w:r>
      <w:r w:rsidR="009D13FB" w:rsidRPr="00614EF9">
        <w:rPr>
          <w:lang w:val="fr-FR"/>
        </w:rPr>
        <w:fldChar w:fldCharType="separate"/>
      </w:r>
      <w:r w:rsidR="009D13FB" w:rsidRPr="00614EF9">
        <w:rPr>
          <w:color w:val="000000" w:themeColor="text1"/>
          <w:lang w:val="fr-FR"/>
        </w:rPr>
        <w:t xml:space="preserve">Tableau </w:t>
      </w:r>
      <w:r w:rsidR="009D13FB" w:rsidRPr="00614EF9">
        <w:rPr>
          <w:noProof/>
          <w:color w:val="000000" w:themeColor="text1"/>
          <w:lang w:val="fr-FR"/>
        </w:rPr>
        <w:t>19</w:t>
      </w:r>
      <w:r w:rsidR="009D13FB" w:rsidRPr="00614EF9">
        <w:rPr>
          <w:lang w:val="fr-FR"/>
        </w:rPr>
        <w:fldChar w:fldCharType="end"/>
      </w:r>
      <w:r w:rsidR="009D13FB" w:rsidRPr="00614EF9">
        <w:rPr>
          <w:lang w:val="fr-FR"/>
        </w:rPr>
        <w:t xml:space="preserve"> </w:t>
      </w:r>
      <w:r w:rsidRPr="00614EF9">
        <w:rPr>
          <w:lang w:val="fr-FR"/>
        </w:rPr>
        <w:t>ci-dessous les présente.</w:t>
      </w:r>
    </w:p>
    <w:tbl>
      <w:tblPr>
        <w:tblStyle w:val="TableauGrille4-Accentuation3"/>
        <w:tblW w:w="9634" w:type="dxa"/>
        <w:jc w:val="center"/>
        <w:tblLayout w:type="fixed"/>
        <w:tblLook w:val="04A0" w:firstRow="1" w:lastRow="0" w:firstColumn="1" w:lastColumn="0" w:noHBand="0" w:noVBand="1"/>
      </w:tblPr>
      <w:tblGrid>
        <w:gridCol w:w="704"/>
        <w:gridCol w:w="3083"/>
        <w:gridCol w:w="5847"/>
      </w:tblGrid>
      <w:tr w:rsidR="00AB037A" w:rsidRPr="00614EF9" w14:paraId="1CBFA4D8" w14:textId="77777777" w:rsidTr="00AB037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704" w:type="dxa"/>
          </w:tcPr>
          <w:p w14:paraId="7965CDB6" w14:textId="77777777" w:rsidR="00AB037A" w:rsidRPr="00614EF9" w:rsidRDefault="00AB037A">
            <w:pPr>
              <w:spacing w:before="20" w:after="20"/>
              <w:rPr>
                <w:color w:val="FFFFFF"/>
                <w:sz w:val="18"/>
                <w:szCs w:val="18"/>
                <w:lang w:val="fr-FR"/>
              </w:rPr>
            </w:pPr>
            <w:r w:rsidRPr="00614EF9">
              <w:rPr>
                <w:color w:val="FFFFFF"/>
                <w:sz w:val="18"/>
                <w:szCs w:val="18"/>
                <w:lang w:val="fr-FR"/>
              </w:rPr>
              <w:t>Poids</w:t>
            </w:r>
          </w:p>
        </w:tc>
        <w:tc>
          <w:tcPr>
            <w:tcW w:w="3083" w:type="dxa"/>
            <w:tcMar>
              <w:top w:w="40" w:type="dxa"/>
              <w:bottom w:w="40" w:type="dxa"/>
            </w:tcMar>
          </w:tcPr>
          <w:p w14:paraId="5191B7FA" w14:textId="77777777" w:rsidR="00AB037A" w:rsidRPr="00614EF9" w:rsidRDefault="00AB037A">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Critère</w:t>
            </w:r>
          </w:p>
        </w:tc>
        <w:tc>
          <w:tcPr>
            <w:tcW w:w="5847" w:type="dxa"/>
            <w:tcMar>
              <w:top w:w="40" w:type="dxa"/>
              <w:bottom w:w="40" w:type="dxa"/>
            </w:tcMar>
          </w:tcPr>
          <w:p w14:paraId="5E4BCB35" w14:textId="77777777" w:rsidR="00AB037A" w:rsidRPr="00614EF9" w:rsidRDefault="00AB037A">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Contenu</w:t>
            </w:r>
          </w:p>
        </w:tc>
      </w:tr>
      <w:tr w:rsidR="00AB037A" w:rsidRPr="00614EF9" w14:paraId="76900B05" w14:textId="77777777" w:rsidTr="00AB03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7F23BE38" w14:textId="77777777" w:rsidR="00AB037A" w:rsidRPr="00614EF9" w:rsidRDefault="00AB037A">
            <w:pPr>
              <w:spacing w:before="20" w:after="20"/>
              <w:rPr>
                <w:sz w:val="18"/>
                <w:szCs w:val="18"/>
                <w:lang w:val="fr-FR"/>
              </w:rPr>
            </w:pPr>
            <w:r w:rsidRPr="00614EF9">
              <w:rPr>
                <w:sz w:val="18"/>
                <w:szCs w:val="18"/>
                <w:lang w:val="fr-FR"/>
              </w:rPr>
              <w:t>P1</w:t>
            </w:r>
          </w:p>
        </w:tc>
        <w:tc>
          <w:tcPr>
            <w:tcW w:w="3083" w:type="dxa"/>
            <w:tcMar>
              <w:top w:w="40" w:type="dxa"/>
              <w:bottom w:w="40" w:type="dxa"/>
            </w:tcMar>
          </w:tcPr>
          <w:p w14:paraId="19455CB0"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Maturité de l'écosystème</w:t>
            </w:r>
          </w:p>
        </w:tc>
        <w:tc>
          <w:tcPr>
            <w:tcW w:w="5847" w:type="dxa"/>
            <w:tcMar>
              <w:top w:w="40" w:type="dxa"/>
              <w:bottom w:w="40" w:type="dxa"/>
            </w:tcMar>
          </w:tcPr>
          <w:p w14:paraId="15018676"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Disponibilité industrielle des équipements de réseau et des terminaux, degré d'harmonisation internationale de l'arrangement de fréquences retenu et perspectives d'itinérance</w:t>
            </w:r>
          </w:p>
        </w:tc>
      </w:tr>
      <w:tr w:rsidR="00AB037A" w:rsidRPr="00614EF9" w14:paraId="712FBD3B" w14:textId="77777777" w:rsidTr="00AB037A">
        <w:trPr>
          <w:jc w:val="center"/>
        </w:trPr>
        <w:tc>
          <w:tcPr>
            <w:cnfStyle w:val="001000000000" w:firstRow="0" w:lastRow="0" w:firstColumn="1" w:lastColumn="0" w:oddVBand="0" w:evenVBand="0" w:oddHBand="0" w:evenHBand="0" w:firstRowFirstColumn="0" w:firstRowLastColumn="0" w:lastRowFirstColumn="0" w:lastRowLastColumn="0"/>
            <w:tcW w:w="704" w:type="dxa"/>
          </w:tcPr>
          <w:p w14:paraId="0F03BAD3" w14:textId="77777777" w:rsidR="00AB037A" w:rsidRPr="00614EF9" w:rsidRDefault="00AB037A">
            <w:pPr>
              <w:spacing w:before="20" w:after="20"/>
              <w:rPr>
                <w:sz w:val="18"/>
                <w:szCs w:val="18"/>
                <w:lang w:val="fr-FR"/>
              </w:rPr>
            </w:pPr>
            <w:r w:rsidRPr="00614EF9">
              <w:rPr>
                <w:sz w:val="18"/>
                <w:szCs w:val="18"/>
                <w:lang w:val="fr-FR"/>
              </w:rPr>
              <w:t>P2</w:t>
            </w:r>
          </w:p>
        </w:tc>
        <w:tc>
          <w:tcPr>
            <w:tcW w:w="3083" w:type="dxa"/>
            <w:tcMar>
              <w:top w:w="40" w:type="dxa"/>
              <w:bottom w:w="40" w:type="dxa"/>
            </w:tcMar>
          </w:tcPr>
          <w:p w14:paraId="1D22FBCF" w14:textId="77777777" w:rsidR="00AB037A" w:rsidRPr="00614EF9" w:rsidRDefault="00AB037A">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Aménagement numérique du territoire</w:t>
            </w:r>
          </w:p>
        </w:tc>
        <w:tc>
          <w:tcPr>
            <w:tcW w:w="5847" w:type="dxa"/>
            <w:tcMar>
              <w:top w:w="40" w:type="dxa"/>
              <w:bottom w:w="40" w:type="dxa"/>
            </w:tcMar>
          </w:tcPr>
          <w:p w14:paraId="6222EECB" w14:textId="77777777" w:rsidR="00AB037A" w:rsidRPr="00614EF9" w:rsidRDefault="00AB037A">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Contribution attendue à la couverture des zones rurales et mal desservies, les bandes basses présentant à cet égard un avantage déterminant</w:t>
            </w:r>
          </w:p>
        </w:tc>
      </w:tr>
      <w:tr w:rsidR="00AB037A" w:rsidRPr="00614EF9" w14:paraId="1C585047" w14:textId="77777777" w:rsidTr="00AB03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4F7B7851" w14:textId="77777777" w:rsidR="00AB037A" w:rsidRPr="00614EF9" w:rsidRDefault="00AB037A">
            <w:pPr>
              <w:spacing w:before="20" w:after="20"/>
              <w:rPr>
                <w:sz w:val="18"/>
                <w:szCs w:val="18"/>
                <w:lang w:val="fr-FR"/>
              </w:rPr>
            </w:pPr>
            <w:r w:rsidRPr="00614EF9">
              <w:rPr>
                <w:sz w:val="18"/>
                <w:szCs w:val="18"/>
                <w:lang w:val="fr-FR"/>
              </w:rPr>
              <w:t>P3</w:t>
            </w:r>
          </w:p>
        </w:tc>
        <w:tc>
          <w:tcPr>
            <w:tcW w:w="3083" w:type="dxa"/>
            <w:tcMar>
              <w:top w:w="40" w:type="dxa"/>
              <w:bottom w:w="40" w:type="dxa"/>
            </w:tcMar>
          </w:tcPr>
          <w:p w14:paraId="4EC3AD3E"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Valeur économique et sociale</w:t>
            </w:r>
          </w:p>
        </w:tc>
        <w:tc>
          <w:tcPr>
            <w:tcW w:w="5847" w:type="dxa"/>
            <w:tcMar>
              <w:top w:w="40" w:type="dxa"/>
              <w:bottom w:w="40" w:type="dxa"/>
            </w:tcMar>
          </w:tcPr>
          <w:p w14:paraId="43D9F9FE"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Bénéfice attendu pour les usagers, effet sur la concurrence et contribution au développement des services numériques</w:t>
            </w:r>
          </w:p>
        </w:tc>
      </w:tr>
      <w:tr w:rsidR="00AB037A" w:rsidRPr="00614EF9" w14:paraId="5C782450" w14:textId="77777777" w:rsidTr="00AB037A">
        <w:trPr>
          <w:jc w:val="center"/>
        </w:trPr>
        <w:tc>
          <w:tcPr>
            <w:cnfStyle w:val="001000000000" w:firstRow="0" w:lastRow="0" w:firstColumn="1" w:lastColumn="0" w:oddVBand="0" w:evenVBand="0" w:oddHBand="0" w:evenHBand="0" w:firstRowFirstColumn="0" w:firstRowLastColumn="0" w:lastRowFirstColumn="0" w:lastRowLastColumn="0"/>
            <w:tcW w:w="704" w:type="dxa"/>
          </w:tcPr>
          <w:p w14:paraId="030C86D1" w14:textId="77777777" w:rsidR="00AB037A" w:rsidRPr="00614EF9" w:rsidRDefault="00AB037A">
            <w:pPr>
              <w:spacing w:before="20" w:after="20"/>
              <w:rPr>
                <w:sz w:val="18"/>
                <w:szCs w:val="18"/>
                <w:lang w:val="fr-FR"/>
              </w:rPr>
            </w:pPr>
            <w:r w:rsidRPr="00614EF9">
              <w:rPr>
                <w:sz w:val="18"/>
                <w:szCs w:val="18"/>
                <w:lang w:val="fr-FR"/>
              </w:rPr>
              <w:t>P4</w:t>
            </w:r>
          </w:p>
        </w:tc>
        <w:tc>
          <w:tcPr>
            <w:tcW w:w="3083" w:type="dxa"/>
            <w:tcMar>
              <w:top w:w="40" w:type="dxa"/>
              <w:bottom w:w="40" w:type="dxa"/>
            </w:tcMar>
          </w:tcPr>
          <w:p w14:paraId="129CBD4C" w14:textId="77777777" w:rsidR="00AB037A" w:rsidRPr="00614EF9" w:rsidRDefault="00AB037A">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Harmonisation sous-régionale</w:t>
            </w:r>
          </w:p>
        </w:tc>
        <w:tc>
          <w:tcPr>
            <w:tcW w:w="5847" w:type="dxa"/>
            <w:tcMar>
              <w:top w:w="40" w:type="dxa"/>
              <w:bottom w:w="40" w:type="dxa"/>
            </w:tcMar>
          </w:tcPr>
          <w:p w14:paraId="2216B706" w14:textId="77777777" w:rsidR="00AB037A" w:rsidRPr="00614EF9" w:rsidRDefault="00AB037A">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Cohérence avec les orientations retenues à l'échelle de la CEDEAO et facilité de coordination frontalière</w:t>
            </w:r>
          </w:p>
        </w:tc>
      </w:tr>
      <w:tr w:rsidR="00AB037A" w:rsidRPr="00614EF9" w14:paraId="00FC97FA" w14:textId="77777777" w:rsidTr="00AB037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081607AD" w14:textId="77777777" w:rsidR="00AB037A" w:rsidRPr="00614EF9" w:rsidRDefault="00AB037A">
            <w:pPr>
              <w:spacing w:before="20" w:after="20"/>
              <w:rPr>
                <w:sz w:val="18"/>
                <w:szCs w:val="18"/>
                <w:lang w:val="fr-FR"/>
              </w:rPr>
            </w:pPr>
            <w:r w:rsidRPr="00614EF9">
              <w:rPr>
                <w:sz w:val="18"/>
                <w:szCs w:val="18"/>
                <w:lang w:val="fr-FR"/>
              </w:rPr>
              <w:t>P5</w:t>
            </w:r>
          </w:p>
        </w:tc>
        <w:tc>
          <w:tcPr>
            <w:tcW w:w="3083" w:type="dxa"/>
            <w:tcMar>
              <w:top w:w="40" w:type="dxa"/>
              <w:bottom w:w="40" w:type="dxa"/>
            </w:tcMar>
          </w:tcPr>
          <w:p w14:paraId="50313FEE"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Faisabilité de la libération</w:t>
            </w:r>
          </w:p>
        </w:tc>
        <w:tc>
          <w:tcPr>
            <w:tcW w:w="5847" w:type="dxa"/>
            <w:tcMar>
              <w:top w:w="40" w:type="dxa"/>
              <w:bottom w:w="40" w:type="dxa"/>
            </w:tcMar>
          </w:tcPr>
          <w:p w14:paraId="0C6E5D43" w14:textId="77777777" w:rsidR="00AB037A" w:rsidRPr="00614EF9" w:rsidRDefault="00AB037A">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Complexité technique, coût et durée des opérations de migration préalables</w:t>
            </w:r>
          </w:p>
        </w:tc>
      </w:tr>
    </w:tbl>
    <w:p w14:paraId="755F13FB" w14:textId="77777777" w:rsidR="00CE71BC" w:rsidRPr="00614EF9" w:rsidRDefault="00CE71BC" w:rsidP="00CE71BC">
      <w:pPr>
        <w:pStyle w:val="Lgende"/>
        <w:spacing w:before="120" w:after="120"/>
        <w:rPr>
          <w:color w:val="000000" w:themeColor="text1"/>
          <w:lang w:val="fr-FR"/>
        </w:rPr>
      </w:pPr>
      <w:bookmarkStart w:id="210" w:name="_Ref240508187"/>
      <w:bookmarkStart w:id="211" w:name="_Toc240614533"/>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19</w:t>
      </w:r>
      <w:r w:rsidRPr="00614EF9">
        <w:rPr>
          <w:color w:val="000000" w:themeColor="text1"/>
          <w:lang w:val="fr-FR"/>
        </w:rPr>
        <w:fldChar w:fldCharType="end"/>
      </w:r>
      <w:r w:rsidRPr="00614EF9">
        <w:rPr>
          <w:color w:val="000000" w:themeColor="text1"/>
          <w:lang w:val="fr-FR"/>
        </w:rPr>
        <w:t>: Critères de priorisation des bandes à libérer</w:t>
      </w:r>
      <w:bookmarkEnd w:id="210"/>
      <w:bookmarkEnd w:id="211"/>
    </w:p>
    <w:p w14:paraId="5B8E6CEF" w14:textId="7C9222D1" w:rsidR="00AB037A" w:rsidRPr="00614EF9" w:rsidRDefault="009514E2">
      <w:pPr>
        <w:spacing w:before="60"/>
        <w:rPr>
          <w:lang w:val="fr-FR"/>
        </w:rPr>
      </w:pPr>
      <w:r w:rsidRPr="00614EF9">
        <w:rPr>
          <w:lang w:val="fr-FR"/>
        </w:rPr>
        <w:t xml:space="preserve">Sur le fondement de ces critères et du diagnostic établi à la </w:t>
      </w:r>
      <w:r w:rsidR="009D13FB" w:rsidRPr="00614EF9">
        <w:rPr>
          <w:lang w:val="fr-FR"/>
        </w:rPr>
        <w:t>partie</w:t>
      </w:r>
      <w:r w:rsidRPr="00614EF9">
        <w:rPr>
          <w:lang w:val="fr-FR"/>
        </w:rPr>
        <w:t xml:space="preserve"> </w:t>
      </w:r>
      <w:r w:rsidR="009D13FB" w:rsidRPr="00614EF9">
        <w:rPr>
          <w:lang w:val="fr-FR"/>
        </w:rPr>
        <w:fldChar w:fldCharType="begin"/>
      </w:r>
      <w:r w:rsidR="009D13FB" w:rsidRPr="00614EF9">
        <w:rPr>
          <w:lang w:val="fr-FR"/>
        </w:rPr>
        <w:instrText xml:space="preserve"> REF _Ref240508236 \r \h </w:instrText>
      </w:r>
      <w:r w:rsidR="008D0439" w:rsidRPr="00614EF9">
        <w:rPr>
          <w:lang w:val="fr-FR"/>
        </w:rPr>
        <w:instrText xml:space="preserve"> \* MERGEFORMAT </w:instrText>
      </w:r>
      <w:r w:rsidR="009D13FB" w:rsidRPr="00614EF9">
        <w:rPr>
          <w:lang w:val="fr-FR"/>
        </w:rPr>
      </w:r>
      <w:r w:rsidR="009D13FB" w:rsidRPr="00614EF9">
        <w:rPr>
          <w:lang w:val="fr-FR"/>
        </w:rPr>
        <w:fldChar w:fldCharType="separate"/>
      </w:r>
      <w:r w:rsidR="009D13FB" w:rsidRPr="00614EF9">
        <w:rPr>
          <w:lang w:val="fr-FR"/>
        </w:rPr>
        <w:t>3</w:t>
      </w:r>
      <w:r w:rsidR="009D13FB" w:rsidRPr="00614EF9">
        <w:rPr>
          <w:lang w:val="fr-FR"/>
        </w:rPr>
        <w:fldChar w:fldCharType="end"/>
      </w:r>
      <w:r w:rsidRPr="00614EF9">
        <w:rPr>
          <w:lang w:val="fr-FR"/>
        </w:rPr>
        <w:t>, l’ordre de priorité proposé place :</w:t>
      </w:r>
    </w:p>
    <w:p w14:paraId="01F5EFA9" w14:textId="77777777" w:rsidR="00AB037A" w:rsidRPr="00614EF9" w:rsidRDefault="009514E2" w:rsidP="00AB037A">
      <w:pPr>
        <w:pStyle w:val="Paragraphedeliste"/>
        <w:numPr>
          <w:ilvl w:val="0"/>
          <w:numId w:val="20"/>
        </w:numPr>
        <w:spacing w:before="120" w:after="120"/>
        <w:ind w:left="714" w:hanging="357"/>
        <w:jc w:val="both"/>
        <w:rPr>
          <w:rFonts w:ascii="Century Gothic" w:hAnsi="Century Gothic"/>
          <w:sz w:val="24"/>
          <w:szCs w:val="24"/>
          <w:lang w:val="fr-FR"/>
        </w:rPr>
      </w:pPr>
      <w:proofErr w:type="gramStart"/>
      <w:r w:rsidRPr="00614EF9">
        <w:rPr>
          <w:rFonts w:ascii="Century Gothic" w:hAnsi="Century Gothic"/>
          <w:sz w:val="24"/>
          <w:szCs w:val="24"/>
          <w:lang w:val="fr-FR"/>
        </w:rPr>
        <w:t>la</w:t>
      </w:r>
      <w:proofErr w:type="gramEnd"/>
      <w:r w:rsidRPr="00614EF9">
        <w:rPr>
          <w:rFonts w:ascii="Century Gothic" w:hAnsi="Century Gothic"/>
          <w:sz w:val="24"/>
          <w:szCs w:val="24"/>
          <w:lang w:val="fr-FR"/>
        </w:rPr>
        <w:t xml:space="preserve"> bande 700 MHz en premier rang : sa libération procède de l’extinction de la diffusion analogique, son écosystème est mature et son attribution au service mobile en Région 1, décidée par la CMR-12, est entrée en vigueur à l’issue de la CMR-15 ;</w:t>
      </w:r>
    </w:p>
    <w:p w14:paraId="52F7C9E9" w14:textId="20DC6845" w:rsidR="00AB037A" w:rsidRPr="00614EF9" w:rsidRDefault="009514E2" w:rsidP="00AB037A">
      <w:pPr>
        <w:pStyle w:val="Paragraphedeliste"/>
        <w:numPr>
          <w:ilvl w:val="0"/>
          <w:numId w:val="20"/>
        </w:numPr>
        <w:spacing w:before="120" w:after="120"/>
        <w:ind w:left="714" w:hanging="357"/>
        <w:jc w:val="both"/>
        <w:rPr>
          <w:rFonts w:ascii="Century Gothic" w:hAnsi="Century Gothic"/>
          <w:sz w:val="24"/>
          <w:szCs w:val="24"/>
          <w:lang w:val="fr-FR"/>
        </w:rPr>
      </w:pPr>
      <w:proofErr w:type="gramStart"/>
      <w:r w:rsidRPr="00614EF9">
        <w:rPr>
          <w:rFonts w:ascii="Century Gothic" w:hAnsi="Century Gothic"/>
          <w:sz w:val="24"/>
          <w:szCs w:val="24"/>
          <w:lang w:val="fr-FR"/>
        </w:rPr>
        <w:t>la</w:t>
      </w:r>
      <w:proofErr w:type="gramEnd"/>
      <w:r w:rsidRPr="00614EF9">
        <w:rPr>
          <w:rFonts w:ascii="Century Gothic" w:hAnsi="Century Gothic"/>
          <w:sz w:val="24"/>
          <w:szCs w:val="24"/>
          <w:lang w:val="fr-FR"/>
        </w:rPr>
        <w:t xml:space="preserve"> bande 3,5 GHz en deuxième rang : son traitement relève de la coexistence plutôt que de la migration, </w:t>
      </w:r>
      <w:r w:rsidR="009D13FB" w:rsidRPr="00614EF9">
        <w:rPr>
          <w:rFonts w:ascii="Century Gothic" w:hAnsi="Century Gothic"/>
          <w:sz w:val="24"/>
          <w:szCs w:val="24"/>
          <w:lang w:val="fr-FR"/>
        </w:rPr>
        <w:t xml:space="preserve">qui plus est, le renvoi 5.340 a identifié </w:t>
      </w:r>
      <w:r w:rsidRPr="00614EF9">
        <w:rPr>
          <w:rFonts w:ascii="Century Gothic" w:hAnsi="Century Gothic"/>
          <w:sz w:val="24"/>
          <w:szCs w:val="24"/>
          <w:lang w:val="fr-FR"/>
        </w:rPr>
        <w:t xml:space="preserve">cette portion pour les IMT </w:t>
      </w:r>
      <w:r w:rsidR="009D13FB" w:rsidRPr="00614EF9">
        <w:rPr>
          <w:rFonts w:ascii="Century Gothic" w:hAnsi="Century Gothic"/>
          <w:sz w:val="24"/>
          <w:szCs w:val="24"/>
          <w:lang w:val="fr-FR"/>
        </w:rPr>
        <w:t xml:space="preserve">au </w:t>
      </w:r>
      <w:proofErr w:type="gramStart"/>
      <w:r w:rsidR="009D13FB" w:rsidRPr="00614EF9">
        <w:rPr>
          <w:rFonts w:ascii="Century Gothic" w:hAnsi="Century Gothic"/>
          <w:sz w:val="24"/>
          <w:szCs w:val="24"/>
          <w:lang w:val="fr-FR"/>
        </w:rPr>
        <w:t>Niger</w:t>
      </w:r>
      <w:r w:rsidRPr="00614EF9">
        <w:rPr>
          <w:rFonts w:ascii="Century Gothic" w:hAnsi="Century Gothic"/>
          <w:sz w:val="24"/>
          <w:szCs w:val="24"/>
          <w:lang w:val="fr-FR"/>
        </w:rPr>
        <w:t>;</w:t>
      </w:r>
      <w:proofErr w:type="gramEnd"/>
    </w:p>
    <w:p w14:paraId="0709CD3C" w14:textId="77777777" w:rsidR="00AB037A" w:rsidRPr="00614EF9" w:rsidRDefault="009514E2" w:rsidP="00AB037A">
      <w:pPr>
        <w:pStyle w:val="Paragraphedeliste"/>
        <w:numPr>
          <w:ilvl w:val="0"/>
          <w:numId w:val="20"/>
        </w:numPr>
        <w:spacing w:before="120" w:after="120"/>
        <w:ind w:left="714" w:hanging="357"/>
        <w:jc w:val="both"/>
        <w:rPr>
          <w:rFonts w:ascii="Century Gothic" w:hAnsi="Century Gothic"/>
          <w:sz w:val="24"/>
          <w:szCs w:val="24"/>
          <w:lang w:val="fr-FR"/>
        </w:rPr>
      </w:pPr>
      <w:proofErr w:type="gramStart"/>
      <w:r w:rsidRPr="00614EF9">
        <w:rPr>
          <w:rFonts w:ascii="Century Gothic" w:hAnsi="Century Gothic"/>
          <w:sz w:val="24"/>
          <w:szCs w:val="24"/>
          <w:lang w:val="fr-FR"/>
        </w:rPr>
        <w:t>la</w:t>
      </w:r>
      <w:proofErr w:type="gramEnd"/>
      <w:r w:rsidRPr="00614EF9">
        <w:rPr>
          <w:rFonts w:ascii="Century Gothic" w:hAnsi="Century Gothic"/>
          <w:sz w:val="24"/>
          <w:szCs w:val="24"/>
          <w:lang w:val="fr-FR"/>
        </w:rPr>
        <w:t xml:space="preserve"> bande 5 925-6 425 MHz en troisième rang, subordonnée à la mise en place préalable du cadre de coordination automatisée.</w:t>
      </w:r>
    </w:p>
    <w:p w14:paraId="1E133C42" w14:textId="0D4E9727" w:rsidR="003A2650" w:rsidRPr="00614EF9" w:rsidRDefault="009514E2" w:rsidP="00AB037A">
      <w:pPr>
        <w:pStyle w:val="Paragraphedeliste"/>
        <w:numPr>
          <w:ilvl w:val="0"/>
          <w:numId w:val="20"/>
        </w:numPr>
        <w:spacing w:before="120" w:after="12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La bande 600 MHz n’est pas inscrite à cet ordre de priorité. En l’absence d’attribution au service mobile opposable pour le Niger, sa réallocation ne peut être utilement engagée : elle fait l’objet du traitement particulier exposé </w:t>
      </w:r>
      <w:r w:rsidR="009D13FB" w:rsidRPr="00614EF9">
        <w:rPr>
          <w:rFonts w:ascii="Century Gothic" w:hAnsi="Century Gothic"/>
          <w:sz w:val="24"/>
          <w:szCs w:val="24"/>
          <w:lang w:val="fr-FR"/>
        </w:rPr>
        <w:t xml:space="preserve">à la section </w:t>
      </w:r>
      <w:r w:rsidR="009D13FB" w:rsidRPr="00614EF9">
        <w:rPr>
          <w:rFonts w:ascii="Century Gothic" w:hAnsi="Century Gothic"/>
          <w:sz w:val="24"/>
          <w:szCs w:val="24"/>
          <w:lang w:val="fr-FR"/>
        </w:rPr>
        <w:fldChar w:fldCharType="begin"/>
      </w:r>
      <w:r w:rsidR="009D13FB" w:rsidRPr="00614EF9">
        <w:rPr>
          <w:rFonts w:ascii="Century Gothic" w:hAnsi="Century Gothic"/>
          <w:sz w:val="24"/>
          <w:szCs w:val="24"/>
          <w:lang w:val="fr-FR"/>
        </w:rPr>
        <w:instrText xml:space="preserve"> REF _Ref240508386 \r \h </w:instrText>
      </w:r>
      <w:r w:rsidR="008D0439" w:rsidRPr="00614EF9">
        <w:rPr>
          <w:rFonts w:ascii="Century Gothic" w:hAnsi="Century Gothic"/>
          <w:sz w:val="24"/>
          <w:szCs w:val="24"/>
          <w:lang w:val="fr-FR"/>
        </w:rPr>
        <w:instrText xml:space="preserve"> \* MERGEFORMAT </w:instrText>
      </w:r>
      <w:r w:rsidR="009D13FB" w:rsidRPr="00614EF9">
        <w:rPr>
          <w:rFonts w:ascii="Century Gothic" w:hAnsi="Century Gothic"/>
          <w:sz w:val="24"/>
          <w:szCs w:val="24"/>
          <w:lang w:val="fr-FR"/>
        </w:rPr>
      </w:r>
      <w:r w:rsidR="009D13FB" w:rsidRPr="00614EF9">
        <w:rPr>
          <w:rFonts w:ascii="Century Gothic" w:hAnsi="Century Gothic"/>
          <w:sz w:val="24"/>
          <w:szCs w:val="24"/>
          <w:lang w:val="fr-FR"/>
        </w:rPr>
        <w:fldChar w:fldCharType="separate"/>
      </w:r>
      <w:r w:rsidR="009D13FB" w:rsidRPr="00614EF9">
        <w:rPr>
          <w:rFonts w:ascii="Century Gothic" w:hAnsi="Century Gothic"/>
          <w:sz w:val="24"/>
          <w:szCs w:val="24"/>
          <w:lang w:val="fr-FR"/>
        </w:rPr>
        <w:t>8.3</w:t>
      </w:r>
      <w:r w:rsidR="009D13FB" w:rsidRPr="00614EF9">
        <w:rPr>
          <w:rFonts w:ascii="Century Gothic" w:hAnsi="Century Gothic"/>
          <w:sz w:val="24"/>
          <w:szCs w:val="24"/>
          <w:lang w:val="fr-FR"/>
        </w:rPr>
        <w:fldChar w:fldCharType="end"/>
      </w:r>
      <w:r w:rsidRPr="00614EF9">
        <w:rPr>
          <w:rFonts w:ascii="Century Gothic" w:hAnsi="Century Gothic"/>
          <w:sz w:val="24"/>
          <w:szCs w:val="24"/>
          <w:lang w:val="fr-FR"/>
        </w:rPr>
        <w:t>.</w:t>
      </w:r>
    </w:p>
    <w:p w14:paraId="62FB7210" w14:textId="77777777" w:rsidR="00AB037A" w:rsidRPr="00614EF9" w:rsidRDefault="009514E2">
      <w:pPr>
        <w:spacing w:before="60"/>
        <w:rPr>
          <w:lang w:val="fr-FR"/>
        </w:rPr>
      </w:pPr>
      <w:r w:rsidRPr="00614EF9">
        <w:rPr>
          <w:lang w:val="fr-FR"/>
        </w:rPr>
        <w:t xml:space="preserve">Les contributions confortent cet ordre pour l'essentiel. </w:t>
      </w:r>
      <w:r w:rsidR="00B555A6" w:rsidRPr="00614EF9">
        <w:rPr>
          <w:lang w:val="fr-FR"/>
        </w:rPr>
        <w:t xml:space="preserve">À titre illustratif, </w:t>
      </w:r>
      <w:r w:rsidRPr="00614EF9">
        <w:rPr>
          <w:lang w:val="fr-FR"/>
        </w:rPr>
        <w:t xml:space="preserve">Moov </w:t>
      </w:r>
      <w:proofErr w:type="spellStart"/>
      <w:r w:rsidRPr="00614EF9">
        <w:rPr>
          <w:lang w:val="fr-FR"/>
        </w:rPr>
        <w:t>Africa</w:t>
      </w:r>
      <w:proofErr w:type="spellEnd"/>
      <w:r w:rsidRPr="00614EF9">
        <w:rPr>
          <w:lang w:val="fr-FR"/>
        </w:rPr>
        <w:t xml:space="preserve"> Niger recommande de traiter en priorité la bande 700 MHz, dont l'écosystème est mature et le gain de couverture immédiat, et de ne traiter la bande 600 MHz qu'une fois la maturité de l'écosystème confirmée à l'échelle internationale. </w:t>
      </w:r>
    </w:p>
    <w:p w14:paraId="6353B198" w14:textId="77777777" w:rsidR="007C757E" w:rsidRPr="00614EF9" w:rsidRDefault="009514E2" w:rsidP="007D4BE4">
      <w:pPr>
        <w:pStyle w:val="Titre2"/>
        <w:rPr>
          <w:lang w:val="fr-FR"/>
        </w:rPr>
      </w:pPr>
      <w:bookmarkStart w:id="212" w:name="_Toc232062313"/>
      <w:bookmarkStart w:id="213" w:name="_Toc236636390"/>
      <w:bookmarkStart w:id="214" w:name="_Ref240459536"/>
      <w:bookmarkStart w:id="215" w:name="_Toc240614431"/>
      <w:r w:rsidRPr="00614EF9">
        <w:rPr>
          <w:lang w:val="fr-FR"/>
        </w:rPr>
        <w:t>Mécanismes d’attribution</w:t>
      </w:r>
      <w:bookmarkEnd w:id="212"/>
      <w:bookmarkEnd w:id="213"/>
      <w:bookmarkEnd w:id="214"/>
      <w:bookmarkEnd w:id="215"/>
    </w:p>
    <w:p w14:paraId="1CD0EFA2" w14:textId="77777777" w:rsidR="003A2650" w:rsidRPr="00614EF9" w:rsidRDefault="009514E2">
      <w:pPr>
        <w:spacing w:before="60"/>
        <w:rPr>
          <w:lang w:val="fr-FR"/>
        </w:rPr>
      </w:pPr>
      <w:r w:rsidRPr="00614EF9">
        <w:rPr>
          <w:lang w:val="fr-FR"/>
        </w:rPr>
        <w:t>Le mécanisme d'attribution est arrêté bande par bande, en fonction du nombre de candidats attendus et de la nature du service.</w:t>
      </w:r>
    </w:p>
    <w:tbl>
      <w:tblPr>
        <w:tblStyle w:val="TableauGrille4-Accentuation3"/>
        <w:tblW w:w="9638" w:type="dxa"/>
        <w:jc w:val="center"/>
        <w:tblLayout w:type="fixed"/>
        <w:tblLook w:val="04A0" w:firstRow="1" w:lastRow="0" w:firstColumn="1" w:lastColumn="0" w:noHBand="0" w:noVBand="1"/>
      </w:tblPr>
      <w:tblGrid>
        <w:gridCol w:w="1838"/>
        <w:gridCol w:w="4536"/>
        <w:gridCol w:w="3264"/>
      </w:tblGrid>
      <w:tr w:rsidR="003A2650" w:rsidRPr="00614EF9" w14:paraId="73405CB1" w14:textId="77777777" w:rsidTr="00B555A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838" w:type="dxa"/>
            <w:tcMar>
              <w:top w:w="40" w:type="dxa"/>
              <w:bottom w:w="40" w:type="dxa"/>
            </w:tcMar>
          </w:tcPr>
          <w:p w14:paraId="1685E468" w14:textId="77777777" w:rsidR="003A2650" w:rsidRPr="00614EF9" w:rsidRDefault="009514E2">
            <w:pPr>
              <w:spacing w:before="20" w:after="20"/>
              <w:rPr>
                <w:lang w:val="fr-FR"/>
              </w:rPr>
            </w:pPr>
            <w:r w:rsidRPr="00614EF9">
              <w:rPr>
                <w:color w:val="FFFFFF"/>
                <w:sz w:val="18"/>
                <w:szCs w:val="18"/>
                <w:lang w:val="fr-FR"/>
              </w:rPr>
              <w:lastRenderedPageBreak/>
              <w:t>Bande</w:t>
            </w:r>
          </w:p>
        </w:tc>
        <w:tc>
          <w:tcPr>
            <w:tcW w:w="4536" w:type="dxa"/>
            <w:tcMar>
              <w:top w:w="40" w:type="dxa"/>
              <w:bottom w:w="40" w:type="dxa"/>
            </w:tcMar>
          </w:tcPr>
          <w:p w14:paraId="2998395B"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Mécanisme proposé</w:t>
            </w:r>
          </w:p>
        </w:tc>
        <w:tc>
          <w:tcPr>
            <w:tcW w:w="3264" w:type="dxa"/>
            <w:tcMar>
              <w:top w:w="40" w:type="dxa"/>
              <w:bottom w:w="40" w:type="dxa"/>
            </w:tcMar>
          </w:tcPr>
          <w:p w14:paraId="4FDD2E27"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Justification</w:t>
            </w:r>
          </w:p>
        </w:tc>
      </w:tr>
      <w:tr w:rsidR="003A2650" w:rsidRPr="00614EF9" w14:paraId="58696780" w14:textId="77777777" w:rsidTr="00B555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Mar>
              <w:top w:w="40" w:type="dxa"/>
              <w:bottom w:w="40" w:type="dxa"/>
            </w:tcMar>
          </w:tcPr>
          <w:p w14:paraId="0730D9EE" w14:textId="77777777" w:rsidR="003A2650" w:rsidRPr="00614EF9" w:rsidRDefault="009514E2">
            <w:pPr>
              <w:spacing w:before="20" w:after="20"/>
              <w:rPr>
                <w:lang w:val="fr-FR"/>
              </w:rPr>
            </w:pPr>
            <w:r w:rsidRPr="00614EF9">
              <w:rPr>
                <w:sz w:val="18"/>
                <w:szCs w:val="18"/>
                <w:lang w:val="fr-FR"/>
              </w:rPr>
              <w:t>700 MHz</w:t>
            </w:r>
          </w:p>
        </w:tc>
        <w:tc>
          <w:tcPr>
            <w:tcW w:w="4536" w:type="dxa"/>
            <w:tcMar>
              <w:top w:w="40" w:type="dxa"/>
              <w:bottom w:w="40" w:type="dxa"/>
            </w:tcMar>
          </w:tcPr>
          <w:p w14:paraId="78253B07" w14:textId="77777777" w:rsidR="00CE71BC"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Appel à candidatures comparatif, assorti d'engagements de couverture</w:t>
            </w:r>
            <w:r w:rsidR="00851BAD" w:rsidRPr="00614EF9">
              <w:rPr>
                <w:sz w:val="18"/>
                <w:szCs w:val="18"/>
                <w:lang w:val="fr-FR"/>
              </w:rPr>
              <w:t>, conformément aux dispositions de l’article 17 (nouveau) de la loi n°2018-45</w:t>
            </w:r>
            <w:r w:rsidR="00CE71BC" w:rsidRPr="00614EF9">
              <w:rPr>
                <w:sz w:val="18"/>
                <w:szCs w:val="18"/>
                <w:lang w:val="fr-FR"/>
              </w:rPr>
              <w:t xml:space="preserve"> et du décret n° 2022-781 /PRN/MP/NTI du 13 octobre 2022 précisant les modalités de mise en </w:t>
            </w:r>
            <w:proofErr w:type="spellStart"/>
            <w:r w:rsidR="00CE71BC" w:rsidRPr="00614EF9">
              <w:rPr>
                <w:sz w:val="18"/>
                <w:szCs w:val="18"/>
                <w:lang w:val="fr-FR"/>
              </w:rPr>
              <w:t>oeuvre</w:t>
            </w:r>
            <w:proofErr w:type="spellEnd"/>
            <w:r w:rsidR="00CE71BC" w:rsidRPr="00614EF9">
              <w:rPr>
                <w:sz w:val="18"/>
                <w:szCs w:val="18"/>
                <w:lang w:val="fr-FR"/>
              </w:rPr>
              <w:t xml:space="preserve"> du principe de la neutralité technologique dans l'exploitation des licences individuelles et des autorisations générales au Niger.</w:t>
            </w:r>
          </w:p>
        </w:tc>
        <w:tc>
          <w:tcPr>
            <w:tcW w:w="3264" w:type="dxa"/>
            <w:tcMar>
              <w:top w:w="40" w:type="dxa"/>
              <w:bottom w:w="40" w:type="dxa"/>
            </w:tcMar>
          </w:tcPr>
          <w:p w14:paraId="475664E4"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Ressource rare en fréquences basses ; priorité à l'aménagement du territoire plutôt qu'au produit de l'attribution</w:t>
            </w:r>
          </w:p>
        </w:tc>
      </w:tr>
      <w:tr w:rsidR="00CE71BC" w:rsidRPr="00614EF9" w14:paraId="4449125D" w14:textId="77777777" w:rsidTr="00B555A6">
        <w:trPr>
          <w:jc w:val="center"/>
        </w:trPr>
        <w:tc>
          <w:tcPr>
            <w:cnfStyle w:val="001000000000" w:firstRow="0" w:lastRow="0" w:firstColumn="1" w:lastColumn="0" w:oddVBand="0" w:evenVBand="0" w:oddHBand="0" w:evenHBand="0" w:firstRowFirstColumn="0" w:firstRowLastColumn="0" w:lastRowFirstColumn="0" w:lastRowLastColumn="0"/>
            <w:tcW w:w="1838" w:type="dxa"/>
            <w:tcMar>
              <w:top w:w="40" w:type="dxa"/>
              <w:bottom w:w="40" w:type="dxa"/>
            </w:tcMar>
          </w:tcPr>
          <w:p w14:paraId="5EB4902F" w14:textId="77777777" w:rsidR="00CE71BC" w:rsidRPr="00614EF9" w:rsidRDefault="00CE71BC" w:rsidP="00CE71BC">
            <w:pPr>
              <w:spacing w:before="20" w:after="20"/>
              <w:rPr>
                <w:lang w:val="fr-FR"/>
              </w:rPr>
            </w:pPr>
            <w:r w:rsidRPr="00614EF9">
              <w:rPr>
                <w:sz w:val="18"/>
                <w:szCs w:val="18"/>
                <w:lang w:val="fr-FR"/>
              </w:rPr>
              <w:t>3,5 GHz</w:t>
            </w:r>
          </w:p>
        </w:tc>
        <w:tc>
          <w:tcPr>
            <w:tcW w:w="4536" w:type="dxa"/>
            <w:tcMar>
              <w:top w:w="40" w:type="dxa"/>
              <w:bottom w:w="40" w:type="dxa"/>
            </w:tcMar>
          </w:tcPr>
          <w:p w14:paraId="500C507C" w14:textId="77777777" w:rsidR="00CE71BC" w:rsidRPr="00614EF9" w:rsidRDefault="00CE71BC" w:rsidP="00CE71BC">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Appel à candidatures comparatif, assorti d'engagements de couverture, conformément aux dispositions de l’article 17 (nouveau) de la loi n°2018-45 et du décret n° 2022-781 /PRN/MP/NTI du 13 octobre 2022 précisant les modalités de mise en </w:t>
            </w:r>
            <w:proofErr w:type="spellStart"/>
            <w:r w:rsidRPr="00614EF9">
              <w:rPr>
                <w:sz w:val="18"/>
                <w:szCs w:val="18"/>
                <w:lang w:val="fr-FR"/>
              </w:rPr>
              <w:t>oeuvre</w:t>
            </w:r>
            <w:proofErr w:type="spellEnd"/>
            <w:r w:rsidRPr="00614EF9">
              <w:rPr>
                <w:sz w:val="18"/>
                <w:szCs w:val="18"/>
                <w:lang w:val="fr-FR"/>
              </w:rPr>
              <w:t xml:space="preserve"> du principe de la neutralité technologique dans l'exploitation des licences individuelles et des autorisations générales au Niger.</w:t>
            </w:r>
          </w:p>
        </w:tc>
        <w:tc>
          <w:tcPr>
            <w:tcW w:w="3264" w:type="dxa"/>
            <w:tcMar>
              <w:top w:w="40" w:type="dxa"/>
              <w:bottom w:w="40" w:type="dxa"/>
            </w:tcMar>
          </w:tcPr>
          <w:p w14:paraId="03789717" w14:textId="77777777" w:rsidR="00CE71BC" w:rsidRPr="00614EF9" w:rsidRDefault="00CE71BC" w:rsidP="00CE71BC">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Ressource abondante en largeur ; possibilité d'un découpage en blocs</w:t>
            </w:r>
          </w:p>
        </w:tc>
      </w:tr>
      <w:tr w:rsidR="003A2650" w:rsidRPr="00614EF9" w14:paraId="4B688BF0" w14:textId="77777777" w:rsidTr="00B555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Mar>
              <w:top w:w="40" w:type="dxa"/>
              <w:bottom w:w="40" w:type="dxa"/>
            </w:tcMar>
          </w:tcPr>
          <w:p w14:paraId="42525ECA" w14:textId="3F12E38E" w:rsidR="003A2650" w:rsidRPr="00614EF9" w:rsidRDefault="004E0820">
            <w:pPr>
              <w:spacing w:before="20" w:after="20"/>
              <w:rPr>
                <w:lang w:val="fr-FR"/>
              </w:rPr>
            </w:pPr>
            <w:r>
              <w:rPr>
                <w:sz w:val="18"/>
                <w:szCs w:val="18"/>
                <w:lang w:val="fr-FR"/>
              </w:rPr>
              <w:t>5925-6425 MHz</w:t>
            </w:r>
          </w:p>
        </w:tc>
        <w:tc>
          <w:tcPr>
            <w:tcW w:w="4536" w:type="dxa"/>
            <w:tcMar>
              <w:top w:w="40" w:type="dxa"/>
              <w:bottom w:w="40" w:type="dxa"/>
            </w:tcMar>
          </w:tcPr>
          <w:p w14:paraId="6D0B3F86" w14:textId="77777777" w:rsidR="003A2650" w:rsidRPr="00614EF9" w:rsidRDefault="006C0933">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Modalités d’octroi, conformément aux dispositions du décret n°2022-250/MPT/NTI du 24 mars 2022 précisant les modalités d’octroi de licences individuelles sans appel public à concurrence</w:t>
            </w:r>
          </w:p>
        </w:tc>
        <w:tc>
          <w:tcPr>
            <w:tcW w:w="3264" w:type="dxa"/>
            <w:tcMar>
              <w:top w:w="40" w:type="dxa"/>
              <w:bottom w:w="40" w:type="dxa"/>
            </w:tcMar>
          </w:tcPr>
          <w:p w14:paraId="6390F735" w14:textId="77777777" w:rsidR="003A2650" w:rsidRPr="00614EF9" w:rsidRDefault="006C0933">
            <w:pPr>
              <w:spacing w:before="20" w:after="20"/>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 xml:space="preserve">Ressource abondante en </w:t>
            </w:r>
            <w:proofErr w:type="gramStart"/>
            <w:r w:rsidRPr="00614EF9">
              <w:rPr>
                <w:sz w:val="18"/>
                <w:szCs w:val="18"/>
                <w:lang w:val="fr-FR"/>
              </w:rPr>
              <w:t>largeur;</w:t>
            </w:r>
            <w:proofErr w:type="gramEnd"/>
            <w:r w:rsidRPr="00614EF9">
              <w:rPr>
                <w:sz w:val="18"/>
                <w:szCs w:val="18"/>
                <w:lang w:val="fr-FR"/>
              </w:rPr>
              <w:t xml:space="preserve"> possibilité d’usage exclusif</w:t>
            </w:r>
          </w:p>
        </w:tc>
      </w:tr>
      <w:tr w:rsidR="003A2650" w:rsidRPr="00614EF9" w14:paraId="3B121BED" w14:textId="77777777" w:rsidTr="00B555A6">
        <w:trPr>
          <w:jc w:val="center"/>
        </w:trPr>
        <w:tc>
          <w:tcPr>
            <w:cnfStyle w:val="001000000000" w:firstRow="0" w:lastRow="0" w:firstColumn="1" w:lastColumn="0" w:oddVBand="0" w:evenVBand="0" w:oddHBand="0" w:evenHBand="0" w:firstRowFirstColumn="0" w:firstRowLastColumn="0" w:lastRowFirstColumn="0" w:lastRowLastColumn="0"/>
            <w:tcW w:w="1838" w:type="dxa"/>
            <w:tcMar>
              <w:top w:w="40" w:type="dxa"/>
              <w:bottom w:w="40" w:type="dxa"/>
            </w:tcMar>
          </w:tcPr>
          <w:p w14:paraId="04CD4E4F" w14:textId="77777777" w:rsidR="003A2650" w:rsidRPr="00614EF9" w:rsidRDefault="009514E2">
            <w:pPr>
              <w:spacing w:before="20" w:after="20"/>
              <w:rPr>
                <w:lang w:val="fr-FR"/>
              </w:rPr>
            </w:pPr>
            <w:r w:rsidRPr="00614EF9">
              <w:rPr>
                <w:sz w:val="18"/>
                <w:szCs w:val="18"/>
                <w:lang w:val="fr-FR"/>
              </w:rPr>
              <w:t>2,4 GHz et 5 GHz</w:t>
            </w:r>
          </w:p>
        </w:tc>
        <w:tc>
          <w:tcPr>
            <w:tcW w:w="4536" w:type="dxa"/>
            <w:tcMar>
              <w:top w:w="40" w:type="dxa"/>
              <w:bottom w:w="40" w:type="dxa"/>
            </w:tcMar>
          </w:tcPr>
          <w:p w14:paraId="5341D130" w14:textId="77777777" w:rsidR="006C0933" w:rsidRPr="00614EF9" w:rsidRDefault="006C0933">
            <w:pPr>
              <w:spacing w:before="20" w:after="20"/>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Régime d’autorisation</w:t>
            </w:r>
          </w:p>
          <w:p w14:paraId="1F0309E3"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Réservation aux réseaux privés </w:t>
            </w:r>
          </w:p>
        </w:tc>
        <w:tc>
          <w:tcPr>
            <w:tcW w:w="3264" w:type="dxa"/>
            <w:tcMar>
              <w:top w:w="40" w:type="dxa"/>
              <w:bottom w:w="40" w:type="dxa"/>
            </w:tcMar>
          </w:tcPr>
          <w:p w14:paraId="529F0F13"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Conformité à la destination arrêtée par le PNAF</w:t>
            </w:r>
          </w:p>
        </w:tc>
      </w:tr>
    </w:tbl>
    <w:p w14:paraId="40C62CA3" w14:textId="77777777" w:rsidR="00CE71BC" w:rsidRPr="00614EF9" w:rsidRDefault="00CE71BC" w:rsidP="00CE71BC">
      <w:pPr>
        <w:pStyle w:val="Lgende"/>
        <w:spacing w:before="120" w:after="120"/>
        <w:rPr>
          <w:color w:val="000000" w:themeColor="text1"/>
          <w:lang w:val="fr-FR"/>
        </w:rPr>
      </w:pPr>
      <w:bookmarkStart w:id="216" w:name="_Toc240614534"/>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20</w:t>
      </w:r>
      <w:r w:rsidRPr="00614EF9">
        <w:rPr>
          <w:color w:val="000000" w:themeColor="text1"/>
          <w:lang w:val="fr-FR"/>
        </w:rPr>
        <w:fldChar w:fldCharType="end"/>
      </w:r>
      <w:r w:rsidRPr="00614EF9">
        <w:rPr>
          <w:color w:val="000000" w:themeColor="text1"/>
          <w:lang w:val="fr-FR"/>
        </w:rPr>
        <w:t>: Mécanismes d’attribution des bandes de fréquences</w:t>
      </w:r>
      <w:bookmarkEnd w:id="216"/>
    </w:p>
    <w:p w14:paraId="0DAB4561" w14:textId="77777777" w:rsidR="003A2650" w:rsidRPr="00614EF9" w:rsidRDefault="00BA4637">
      <w:pPr>
        <w:spacing w:before="60"/>
        <w:rPr>
          <w:lang w:val="fr-FR"/>
        </w:rPr>
      </w:pPr>
      <w:r w:rsidRPr="00614EF9">
        <w:rPr>
          <w:lang w:val="fr-FR"/>
        </w:rPr>
        <w:t>Pour chaque bande, la procédure d’attribution fait l’objet d’une publication préalable, de critères de sélection pondérés, d’une instruction par l’ARCEP et d’une décision motivée, notifiée à chaque candidat et rendue publique.</w:t>
      </w:r>
    </w:p>
    <w:p w14:paraId="7E915DBF" w14:textId="77777777" w:rsidR="007C757E" w:rsidRPr="00614EF9" w:rsidRDefault="009514E2" w:rsidP="007D4BE4">
      <w:pPr>
        <w:pStyle w:val="Titre2"/>
        <w:rPr>
          <w:lang w:val="fr-FR"/>
        </w:rPr>
      </w:pPr>
      <w:bookmarkStart w:id="217" w:name="_Toc232062314"/>
      <w:bookmarkStart w:id="218" w:name="_Toc236636391"/>
      <w:bookmarkStart w:id="219" w:name="_Toc240614432"/>
      <w:r w:rsidRPr="00614EF9">
        <w:rPr>
          <w:lang w:val="fr-FR"/>
        </w:rPr>
        <w:t>Conditions de mise en service</w:t>
      </w:r>
      <w:bookmarkEnd w:id="217"/>
      <w:bookmarkEnd w:id="218"/>
      <w:bookmarkEnd w:id="219"/>
    </w:p>
    <w:p w14:paraId="29C65B7A" w14:textId="77777777" w:rsidR="005C3193" w:rsidRPr="00614EF9" w:rsidRDefault="009514E2">
      <w:pPr>
        <w:spacing w:before="60"/>
        <w:rPr>
          <w:lang w:val="fr-FR"/>
        </w:rPr>
      </w:pPr>
      <w:r w:rsidRPr="00614EF9">
        <w:rPr>
          <w:lang w:val="fr-FR"/>
        </w:rPr>
        <w:t>Les licences délivrées sur les bandes libérées sont assorties de conditions destinées à garantir l’usage effectif de la ressource et le bénéfice attendu pour les usagers.</w:t>
      </w:r>
    </w:p>
    <w:p w14:paraId="39B03129" w14:textId="77777777" w:rsidR="003A2650" w:rsidRPr="00614EF9" w:rsidRDefault="00BA4637">
      <w:pPr>
        <w:spacing w:before="60"/>
        <w:rPr>
          <w:lang w:val="fr-FR"/>
        </w:rPr>
      </w:pPr>
      <w:r w:rsidRPr="00614EF9">
        <w:rPr>
          <w:lang w:val="fr-FR"/>
        </w:rPr>
        <w:t>Ces conditions sont inscrites dans un cahier des charges annexé à la licence. Elles comportent au minimum :</w:t>
      </w:r>
    </w:p>
    <w:p w14:paraId="375AC391" w14:textId="77777777" w:rsidR="003A2650" w:rsidRPr="00614EF9" w:rsidRDefault="00BA4637">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Des obligations de couverture : jalons de couverture de la population et des principaux axes routiers, assortis d’échéances contraignantes et d’une priorité aux zones rurales et mal desservies ;</w:t>
      </w:r>
    </w:p>
    <w:p w14:paraId="300D6B11" w14:textId="77777777" w:rsidR="003A2650" w:rsidRPr="00614EF9" w:rsidRDefault="00BA4637">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Un délai maximal de mise en service commerciale, courant à compter de la notification de la licence, dont le non-respect est sanctionné ;</w:t>
      </w:r>
    </w:p>
    <w:p w14:paraId="0DD13968" w14:textId="77777777" w:rsidR="003A2650" w:rsidRPr="00614EF9" w:rsidRDefault="00BA4637">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 respect des conditions techniques de coexistence arrêtées par l’ARCEP ;</w:t>
      </w:r>
    </w:p>
    <w:p w14:paraId="2E93F02C" w14:textId="77777777" w:rsidR="003A2650" w:rsidRPr="00614EF9" w:rsidRDefault="00BA4637">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Le partage d’infrastructures : mutualisation passive dans les zones peu denses et, le cas échéant, itinérance locale, afin de limiter la duplication des sites ;</w:t>
      </w:r>
    </w:p>
    <w:p w14:paraId="7C7193F5" w14:textId="77777777" w:rsidR="003A2650" w:rsidRPr="00614EF9" w:rsidRDefault="00BA4637">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sz w:val="24"/>
          <w:szCs w:val="24"/>
          <w:lang w:val="fr-FR"/>
        </w:rPr>
        <w:t>La contribution au financement des coûts de migration.</w:t>
      </w:r>
    </w:p>
    <w:p w14:paraId="2C462540" w14:textId="77777777" w:rsidR="005C3193" w:rsidRPr="00614EF9" w:rsidRDefault="009514E2">
      <w:pPr>
        <w:spacing w:before="60"/>
        <w:rPr>
          <w:lang w:val="fr-FR"/>
        </w:rPr>
      </w:pPr>
      <w:r w:rsidRPr="00614EF9">
        <w:rPr>
          <w:lang w:val="fr-FR"/>
        </w:rPr>
        <w:t xml:space="preserve">Le respect de ces </w:t>
      </w:r>
      <w:r w:rsidR="00BA4637" w:rsidRPr="00614EF9">
        <w:rPr>
          <w:lang w:val="fr-FR"/>
        </w:rPr>
        <w:t>obligations</w:t>
      </w:r>
      <w:r w:rsidRPr="00614EF9">
        <w:rPr>
          <w:lang w:val="fr-FR"/>
        </w:rPr>
        <w:t xml:space="preserve"> fait l'objet d'un contrôle annuel de </w:t>
      </w:r>
      <w:r w:rsidR="00B555A6" w:rsidRPr="00614EF9">
        <w:rPr>
          <w:lang w:val="fr-FR"/>
        </w:rPr>
        <w:t>l’ARCEP</w:t>
      </w:r>
      <w:r w:rsidRPr="00614EF9">
        <w:rPr>
          <w:lang w:val="fr-FR"/>
        </w:rPr>
        <w:t xml:space="preserve">, dont les résultats sont publiés. </w:t>
      </w:r>
    </w:p>
    <w:p w14:paraId="1A0FDCD9" w14:textId="77777777" w:rsidR="003A2650" w:rsidRPr="00614EF9" w:rsidRDefault="009514E2">
      <w:pPr>
        <w:spacing w:before="60"/>
        <w:rPr>
          <w:lang w:val="fr-FR"/>
        </w:rPr>
      </w:pPr>
      <w:r w:rsidRPr="00614EF9">
        <w:rPr>
          <w:lang w:val="fr-FR"/>
        </w:rPr>
        <w:lastRenderedPageBreak/>
        <w:t>Le manquement expose le titulaire aux mesures prévues par la réglementation</w:t>
      </w:r>
      <w:r w:rsidR="00B555A6" w:rsidRPr="00614EF9">
        <w:rPr>
          <w:lang w:val="fr-FR"/>
        </w:rPr>
        <w:t xml:space="preserve"> en vigueur</w:t>
      </w:r>
      <w:r w:rsidRPr="00614EF9">
        <w:rPr>
          <w:lang w:val="fr-FR"/>
        </w:rPr>
        <w:t>.</w:t>
      </w:r>
    </w:p>
    <w:p w14:paraId="6D982714" w14:textId="77777777" w:rsidR="00BA4637" w:rsidRPr="00614EF9" w:rsidRDefault="00B555A6" w:rsidP="00BA4637">
      <w:pPr>
        <w:pStyle w:val="Titre2"/>
        <w:rPr>
          <w:lang w:val="fr-FR"/>
        </w:rPr>
      </w:pPr>
      <w:bookmarkStart w:id="220" w:name="_Toc240614433"/>
      <w:r w:rsidRPr="00614EF9">
        <w:rPr>
          <w:lang w:val="fr-FR"/>
        </w:rPr>
        <w:t>Rappel des besoins de spectre exprimés lors de la consultation</w:t>
      </w:r>
      <w:bookmarkEnd w:id="220"/>
    </w:p>
    <w:p w14:paraId="01201797" w14:textId="77777777" w:rsidR="00001329" w:rsidRPr="00614EF9" w:rsidRDefault="009514E2">
      <w:pPr>
        <w:spacing w:before="60"/>
        <w:rPr>
          <w:lang w:val="fr-FR"/>
        </w:rPr>
      </w:pPr>
      <w:r w:rsidRPr="00614EF9">
        <w:rPr>
          <w:lang w:val="fr-FR"/>
        </w:rPr>
        <w:t>Trois opérateurs mobiles ont formulé des besoins chiffrés, qui déterminent le dimensionnement des blocs à mettre en attribution.</w:t>
      </w:r>
    </w:p>
    <w:tbl>
      <w:tblPr>
        <w:tblStyle w:val="TableauGrille4-Accentuation3"/>
        <w:tblW w:w="9638" w:type="dxa"/>
        <w:jc w:val="center"/>
        <w:tblLayout w:type="fixed"/>
        <w:tblLook w:val="04A0" w:firstRow="1" w:lastRow="0" w:firstColumn="1" w:lastColumn="0" w:noHBand="0" w:noVBand="1"/>
      </w:tblPr>
      <w:tblGrid>
        <w:gridCol w:w="1600"/>
        <w:gridCol w:w="2900"/>
        <w:gridCol w:w="2500"/>
        <w:gridCol w:w="2638"/>
      </w:tblGrid>
      <w:tr w:rsidR="00001329" w:rsidRPr="00614EF9" w14:paraId="06EFAA52" w14:textId="77777777" w:rsidTr="0000132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600" w:type="dxa"/>
            <w:tcMar>
              <w:top w:w="40" w:type="dxa"/>
              <w:bottom w:w="40" w:type="dxa"/>
            </w:tcMar>
          </w:tcPr>
          <w:p w14:paraId="4735AFEE" w14:textId="77777777" w:rsidR="00001329" w:rsidRPr="00614EF9" w:rsidRDefault="009514E2">
            <w:pPr>
              <w:spacing w:before="20" w:after="20"/>
              <w:rPr>
                <w:lang w:val="fr-FR"/>
              </w:rPr>
            </w:pPr>
            <w:r w:rsidRPr="00614EF9">
              <w:rPr>
                <w:color w:val="FFFFFF"/>
                <w:sz w:val="18"/>
                <w:szCs w:val="18"/>
                <w:lang w:val="fr-FR"/>
              </w:rPr>
              <w:t>Bande</w:t>
            </w:r>
          </w:p>
        </w:tc>
        <w:tc>
          <w:tcPr>
            <w:tcW w:w="2900" w:type="dxa"/>
            <w:tcMar>
              <w:top w:w="40" w:type="dxa"/>
              <w:bottom w:w="40" w:type="dxa"/>
            </w:tcMar>
          </w:tcPr>
          <w:p w14:paraId="71AB2084"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Demandes exprimées</w:t>
            </w:r>
          </w:p>
        </w:tc>
        <w:tc>
          <w:tcPr>
            <w:tcW w:w="2500" w:type="dxa"/>
            <w:tcMar>
              <w:top w:w="40" w:type="dxa"/>
              <w:bottom w:w="40" w:type="dxa"/>
            </w:tcMar>
          </w:tcPr>
          <w:p w14:paraId="4D0B5233"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Ressource disponible</w:t>
            </w:r>
          </w:p>
        </w:tc>
        <w:tc>
          <w:tcPr>
            <w:tcW w:w="2638" w:type="dxa"/>
            <w:tcMar>
              <w:top w:w="40" w:type="dxa"/>
              <w:bottom w:w="40" w:type="dxa"/>
            </w:tcMar>
          </w:tcPr>
          <w:p w14:paraId="465D5E18"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Appréciation</w:t>
            </w:r>
          </w:p>
        </w:tc>
      </w:tr>
      <w:tr w:rsidR="00001329" w:rsidRPr="00614EF9" w14:paraId="44132638"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0" w:type="dxa"/>
            <w:tcMar>
              <w:top w:w="40" w:type="dxa"/>
              <w:bottom w:w="40" w:type="dxa"/>
            </w:tcMar>
          </w:tcPr>
          <w:p w14:paraId="3365B8F9" w14:textId="77777777" w:rsidR="00001329" w:rsidRPr="00614EF9" w:rsidRDefault="009514E2">
            <w:pPr>
              <w:spacing w:before="20" w:after="20"/>
              <w:rPr>
                <w:lang w:val="fr-FR"/>
              </w:rPr>
            </w:pPr>
            <w:r w:rsidRPr="00614EF9">
              <w:rPr>
                <w:sz w:val="18"/>
                <w:szCs w:val="18"/>
                <w:lang w:val="fr-FR"/>
              </w:rPr>
              <w:t>3,5 GHz</w:t>
            </w:r>
          </w:p>
        </w:tc>
        <w:tc>
          <w:tcPr>
            <w:tcW w:w="2900" w:type="dxa"/>
            <w:tcMar>
              <w:top w:w="40" w:type="dxa"/>
              <w:bottom w:w="40" w:type="dxa"/>
            </w:tcMar>
          </w:tcPr>
          <w:p w14:paraId="6075F03D" w14:textId="6F7B967D" w:rsidR="00001329" w:rsidRPr="00614EF9" w:rsidRDefault="004E0820"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CELTEL </w:t>
            </w:r>
            <w:r>
              <w:rPr>
                <w:sz w:val="18"/>
                <w:szCs w:val="18"/>
                <w:lang w:val="fr-FR"/>
              </w:rPr>
              <w:t xml:space="preserve">NIGER </w:t>
            </w:r>
            <w:r w:rsidRPr="00614EF9">
              <w:rPr>
                <w:sz w:val="18"/>
                <w:szCs w:val="18"/>
                <w:lang w:val="fr-FR"/>
              </w:rPr>
              <w:t xml:space="preserve">100 MHz contigus ; NIGER TELECOM 100 MHz contigus ; MOOV </w:t>
            </w:r>
            <w:r>
              <w:rPr>
                <w:sz w:val="18"/>
                <w:szCs w:val="18"/>
                <w:lang w:val="fr-FR"/>
              </w:rPr>
              <w:t xml:space="preserve">AFRICA NIGER </w:t>
            </w:r>
            <w:r w:rsidRPr="00614EF9">
              <w:rPr>
                <w:sz w:val="18"/>
                <w:szCs w:val="18"/>
                <w:lang w:val="fr-FR"/>
              </w:rPr>
              <w:t>80 à 100 MHz</w:t>
            </w:r>
          </w:p>
        </w:tc>
        <w:tc>
          <w:tcPr>
            <w:tcW w:w="2500" w:type="dxa"/>
            <w:tcMar>
              <w:top w:w="40" w:type="dxa"/>
              <w:bottom w:w="40" w:type="dxa"/>
            </w:tcMar>
          </w:tcPr>
          <w:p w14:paraId="278E2E73" w14:textId="77777777" w:rsidR="00001329" w:rsidRPr="00614EF9" w:rsidRDefault="00B555A6"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200 MHz, moins les zones de coordination des 46 stations terriennes</w:t>
            </w:r>
          </w:p>
        </w:tc>
        <w:tc>
          <w:tcPr>
            <w:tcW w:w="2638" w:type="dxa"/>
            <w:tcMar>
              <w:top w:w="40" w:type="dxa"/>
              <w:bottom w:w="40" w:type="dxa"/>
            </w:tcMar>
          </w:tcPr>
          <w:p w14:paraId="1498C6E6" w14:textId="77777777" w:rsidR="00001329" w:rsidRPr="00614EF9" w:rsidRDefault="009514E2"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Demandes cumulées de 280 à 300 MHz ; </w:t>
            </w:r>
            <w:r w:rsidR="00B555A6" w:rsidRPr="00614EF9">
              <w:rPr>
                <w:sz w:val="18"/>
                <w:szCs w:val="18"/>
                <w:lang w:val="fr-FR"/>
              </w:rPr>
              <w:t>in</w:t>
            </w:r>
            <w:r w:rsidRPr="00614EF9">
              <w:rPr>
                <w:sz w:val="18"/>
                <w:szCs w:val="18"/>
                <w:lang w:val="fr-FR"/>
              </w:rPr>
              <w:t>compatible</w:t>
            </w:r>
            <w:r w:rsidR="00B555A6" w:rsidRPr="00614EF9">
              <w:rPr>
                <w:sz w:val="18"/>
                <w:szCs w:val="18"/>
                <w:lang w:val="fr-FR"/>
              </w:rPr>
              <w:t xml:space="preserve">, à moins d’inclure le </w:t>
            </w:r>
            <w:r w:rsidRPr="00614EF9">
              <w:rPr>
                <w:sz w:val="18"/>
                <w:szCs w:val="18"/>
                <w:lang w:val="fr-FR"/>
              </w:rPr>
              <w:t>segment 3 700–3 800 MHz</w:t>
            </w:r>
          </w:p>
        </w:tc>
      </w:tr>
      <w:tr w:rsidR="00001329" w:rsidRPr="00614EF9" w14:paraId="3B2A00F2"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1600" w:type="dxa"/>
            <w:tcMar>
              <w:top w:w="40" w:type="dxa"/>
              <w:bottom w:w="40" w:type="dxa"/>
            </w:tcMar>
          </w:tcPr>
          <w:p w14:paraId="2DAE02D1" w14:textId="77777777" w:rsidR="00001329" w:rsidRPr="00614EF9" w:rsidRDefault="009514E2">
            <w:pPr>
              <w:spacing w:before="20" w:after="20"/>
              <w:rPr>
                <w:lang w:val="fr-FR"/>
              </w:rPr>
            </w:pPr>
            <w:r w:rsidRPr="00614EF9">
              <w:rPr>
                <w:sz w:val="18"/>
                <w:szCs w:val="18"/>
                <w:lang w:val="fr-FR"/>
              </w:rPr>
              <w:t>700 MHz</w:t>
            </w:r>
          </w:p>
        </w:tc>
        <w:tc>
          <w:tcPr>
            <w:tcW w:w="2900" w:type="dxa"/>
            <w:tcMar>
              <w:top w:w="40" w:type="dxa"/>
              <w:bottom w:w="40" w:type="dxa"/>
            </w:tcMar>
          </w:tcPr>
          <w:p w14:paraId="07AEE8EA" w14:textId="54A9CD77" w:rsidR="00001329" w:rsidRPr="00614EF9" w:rsidRDefault="004E0820"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MOOV </w:t>
            </w:r>
            <w:r>
              <w:rPr>
                <w:sz w:val="18"/>
                <w:szCs w:val="18"/>
                <w:lang w:val="fr-FR"/>
              </w:rPr>
              <w:t>AFRICA NIGER</w:t>
            </w:r>
            <w:r w:rsidRPr="00614EF9">
              <w:rPr>
                <w:sz w:val="18"/>
                <w:szCs w:val="18"/>
                <w:lang w:val="fr-FR"/>
              </w:rPr>
              <w:t xml:space="preserve"> un bloc de 2 × 10 MHz ; CELTEL </w:t>
            </w:r>
            <w:r>
              <w:rPr>
                <w:sz w:val="18"/>
                <w:szCs w:val="18"/>
                <w:lang w:val="fr-FR"/>
              </w:rPr>
              <w:t xml:space="preserve">NIGER </w:t>
            </w:r>
            <w:r w:rsidRPr="00614EF9">
              <w:rPr>
                <w:sz w:val="18"/>
                <w:szCs w:val="18"/>
                <w:lang w:val="fr-FR"/>
              </w:rPr>
              <w:t>intérêt confirmé</w:t>
            </w:r>
          </w:p>
        </w:tc>
        <w:tc>
          <w:tcPr>
            <w:tcW w:w="2500" w:type="dxa"/>
            <w:tcMar>
              <w:top w:w="40" w:type="dxa"/>
              <w:bottom w:w="40" w:type="dxa"/>
            </w:tcMar>
          </w:tcPr>
          <w:p w14:paraId="5C2A1C71" w14:textId="77777777" w:rsidR="00001329" w:rsidRPr="00614EF9" w:rsidRDefault="009514E2"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2 × 30 MHz</w:t>
            </w:r>
          </w:p>
        </w:tc>
        <w:tc>
          <w:tcPr>
            <w:tcW w:w="2638" w:type="dxa"/>
            <w:tcMar>
              <w:top w:w="40" w:type="dxa"/>
              <w:bottom w:w="40" w:type="dxa"/>
            </w:tcMar>
          </w:tcPr>
          <w:p w14:paraId="5692072C" w14:textId="77777777" w:rsidR="00001329" w:rsidRPr="00614EF9" w:rsidRDefault="009514E2"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Ressource suffisante pour trois opérateurs</w:t>
            </w:r>
          </w:p>
        </w:tc>
      </w:tr>
      <w:tr w:rsidR="00001329" w:rsidRPr="00614EF9" w14:paraId="71485832"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0" w:type="dxa"/>
            <w:tcMar>
              <w:top w:w="40" w:type="dxa"/>
              <w:bottom w:w="40" w:type="dxa"/>
            </w:tcMar>
          </w:tcPr>
          <w:p w14:paraId="55731536" w14:textId="77777777" w:rsidR="00001329" w:rsidRPr="00614EF9" w:rsidRDefault="009514E2">
            <w:pPr>
              <w:spacing w:before="20" w:after="20"/>
              <w:rPr>
                <w:lang w:val="fr-FR"/>
              </w:rPr>
            </w:pPr>
            <w:r w:rsidRPr="00614EF9">
              <w:rPr>
                <w:sz w:val="18"/>
                <w:szCs w:val="18"/>
                <w:lang w:val="fr-FR"/>
              </w:rPr>
              <w:t>600 MHz</w:t>
            </w:r>
          </w:p>
        </w:tc>
        <w:tc>
          <w:tcPr>
            <w:tcW w:w="2900" w:type="dxa"/>
            <w:tcMar>
              <w:top w:w="40" w:type="dxa"/>
              <w:bottom w:w="40" w:type="dxa"/>
            </w:tcMar>
          </w:tcPr>
          <w:p w14:paraId="3B019587" w14:textId="34547DD4" w:rsidR="00001329" w:rsidRPr="00614EF9" w:rsidRDefault="004E0820"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NIGER TELECOM 2 × 15 MHz ; MOOV </w:t>
            </w:r>
            <w:r>
              <w:rPr>
                <w:sz w:val="18"/>
                <w:szCs w:val="18"/>
                <w:lang w:val="fr-FR"/>
              </w:rPr>
              <w:t>AFRICA NIGER</w:t>
            </w:r>
            <w:r w:rsidRPr="00614EF9">
              <w:rPr>
                <w:sz w:val="18"/>
                <w:szCs w:val="18"/>
                <w:lang w:val="fr-FR"/>
              </w:rPr>
              <w:t xml:space="preserve"> 2 × 10 MHz, besoin déclaré non ferme ; </w:t>
            </w:r>
            <w:proofErr w:type="gramStart"/>
            <w:r w:rsidRPr="00614EF9">
              <w:rPr>
                <w:sz w:val="18"/>
                <w:szCs w:val="18"/>
                <w:lang w:val="fr-FR"/>
              </w:rPr>
              <w:t xml:space="preserve">CELTEL </w:t>
            </w:r>
            <w:r>
              <w:rPr>
                <w:sz w:val="18"/>
                <w:szCs w:val="18"/>
                <w:lang w:val="fr-FR"/>
              </w:rPr>
              <w:t xml:space="preserve"> NIGER</w:t>
            </w:r>
            <w:proofErr w:type="gramEnd"/>
            <w:r>
              <w:rPr>
                <w:sz w:val="18"/>
                <w:szCs w:val="18"/>
                <w:lang w:val="fr-FR"/>
              </w:rPr>
              <w:t xml:space="preserve"> </w:t>
            </w:r>
            <w:r w:rsidRPr="00614EF9">
              <w:rPr>
                <w:sz w:val="18"/>
                <w:szCs w:val="18"/>
                <w:lang w:val="fr-FR"/>
              </w:rPr>
              <w:t>aucun besoin actuel</w:t>
            </w:r>
          </w:p>
        </w:tc>
        <w:tc>
          <w:tcPr>
            <w:tcW w:w="2500" w:type="dxa"/>
            <w:tcMar>
              <w:top w:w="40" w:type="dxa"/>
              <w:bottom w:w="40" w:type="dxa"/>
            </w:tcMar>
          </w:tcPr>
          <w:p w14:paraId="46D23EE0" w14:textId="77777777" w:rsidR="00001329" w:rsidRPr="00614EF9" w:rsidRDefault="009514E2"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2 × 40 MHz, sans base d'allocation pour le Niger</w:t>
            </w:r>
          </w:p>
        </w:tc>
        <w:tc>
          <w:tcPr>
            <w:tcW w:w="2638" w:type="dxa"/>
            <w:tcMar>
              <w:top w:w="40" w:type="dxa"/>
              <w:bottom w:w="40" w:type="dxa"/>
            </w:tcMar>
          </w:tcPr>
          <w:p w14:paraId="0AC2E142" w14:textId="77777777" w:rsidR="00001329" w:rsidRPr="00614EF9" w:rsidRDefault="009514E2" w:rsidP="00CE6130">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Demande réelle limitée ; aucun opérateur n'en fait une priorité</w:t>
            </w:r>
          </w:p>
        </w:tc>
      </w:tr>
      <w:tr w:rsidR="00001329" w:rsidRPr="00614EF9" w14:paraId="4871AF7A"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1600" w:type="dxa"/>
            <w:tcMar>
              <w:top w:w="40" w:type="dxa"/>
              <w:bottom w:w="40" w:type="dxa"/>
            </w:tcMar>
          </w:tcPr>
          <w:p w14:paraId="7F6C7158" w14:textId="4251E062" w:rsidR="00001329" w:rsidRPr="00614EF9" w:rsidRDefault="004E0820">
            <w:pPr>
              <w:spacing w:before="20" w:after="20"/>
              <w:rPr>
                <w:lang w:val="fr-FR"/>
              </w:rPr>
            </w:pPr>
            <w:r>
              <w:rPr>
                <w:sz w:val="18"/>
                <w:szCs w:val="18"/>
                <w:lang w:val="fr-FR"/>
              </w:rPr>
              <w:t>5925-6425 MHz</w:t>
            </w:r>
          </w:p>
        </w:tc>
        <w:tc>
          <w:tcPr>
            <w:tcW w:w="2900" w:type="dxa"/>
            <w:tcMar>
              <w:top w:w="40" w:type="dxa"/>
              <w:bottom w:w="40" w:type="dxa"/>
            </w:tcMar>
          </w:tcPr>
          <w:p w14:paraId="7E452E7B" w14:textId="52149E23" w:rsidR="00001329" w:rsidRPr="00614EF9" w:rsidRDefault="004E0820"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LIPTINFOR : canaux de 20, 40, 80 et si nécessaire 160 MHz</w:t>
            </w:r>
          </w:p>
        </w:tc>
        <w:tc>
          <w:tcPr>
            <w:tcW w:w="2500" w:type="dxa"/>
            <w:tcMar>
              <w:top w:w="40" w:type="dxa"/>
              <w:bottom w:w="40" w:type="dxa"/>
            </w:tcMar>
          </w:tcPr>
          <w:p w14:paraId="3F152C14" w14:textId="77777777" w:rsidR="00001329" w:rsidRPr="00614EF9" w:rsidRDefault="009514E2"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500 MHz sous régime de coordination automatisée</w:t>
            </w:r>
          </w:p>
        </w:tc>
        <w:tc>
          <w:tcPr>
            <w:tcW w:w="2638" w:type="dxa"/>
            <w:tcMar>
              <w:top w:w="40" w:type="dxa"/>
              <w:bottom w:w="40" w:type="dxa"/>
            </w:tcMar>
          </w:tcPr>
          <w:p w14:paraId="2A48DDCC" w14:textId="77777777" w:rsidR="00001329" w:rsidRPr="00614EF9" w:rsidRDefault="009514E2" w:rsidP="00CE6130">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Un seul demandeur identifié</w:t>
            </w:r>
          </w:p>
        </w:tc>
      </w:tr>
    </w:tbl>
    <w:p w14:paraId="4C65C964" w14:textId="77777777" w:rsidR="00374048" w:rsidRPr="00614EF9" w:rsidRDefault="00374048" w:rsidP="00374048">
      <w:pPr>
        <w:pStyle w:val="Lgende"/>
        <w:spacing w:before="120" w:after="120"/>
        <w:rPr>
          <w:color w:val="000000" w:themeColor="text1"/>
          <w:lang w:val="fr-FR"/>
        </w:rPr>
      </w:pPr>
      <w:bookmarkStart w:id="221" w:name="_Toc240614535"/>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21</w:t>
      </w:r>
      <w:r w:rsidRPr="00614EF9">
        <w:rPr>
          <w:color w:val="000000" w:themeColor="text1"/>
          <w:lang w:val="fr-FR"/>
        </w:rPr>
        <w:fldChar w:fldCharType="end"/>
      </w:r>
      <w:r w:rsidRPr="00614EF9">
        <w:rPr>
          <w:color w:val="000000" w:themeColor="text1"/>
          <w:lang w:val="fr-FR"/>
        </w:rPr>
        <w:t>: Récapitulatif des besoins en spectre exprimés par les opérateurs</w:t>
      </w:r>
      <w:bookmarkEnd w:id="221"/>
    </w:p>
    <w:p w14:paraId="77EBD4A5" w14:textId="77777777" w:rsidR="00374048" w:rsidRPr="00614EF9" w:rsidRDefault="00374048" w:rsidP="00AB602B">
      <w:pPr>
        <w:rPr>
          <w:lang w:val="fr-FR"/>
        </w:rPr>
      </w:pPr>
    </w:p>
    <w:p w14:paraId="2D49BD8C" w14:textId="77777777" w:rsidR="00AB602B" w:rsidRPr="00614EF9" w:rsidRDefault="00AB602B" w:rsidP="00AB602B">
      <w:pPr>
        <w:rPr>
          <w:lang w:val="fr-FR"/>
        </w:rPr>
      </w:pPr>
      <w:r w:rsidRPr="00614EF9">
        <w:rPr>
          <w:lang w:val="fr-FR"/>
        </w:rPr>
        <w:br w:type="page"/>
      </w:r>
    </w:p>
    <w:p w14:paraId="00F9643A" w14:textId="77777777" w:rsidR="007C757E" w:rsidRPr="00614EF9" w:rsidRDefault="009514E2">
      <w:pPr>
        <w:pStyle w:val="Titre1"/>
        <w:rPr>
          <w:lang w:val="fr-FR"/>
        </w:rPr>
      </w:pPr>
      <w:bookmarkStart w:id="222" w:name="_Toc232062315"/>
      <w:bookmarkStart w:id="223" w:name="_Toc236636392"/>
      <w:bookmarkStart w:id="224" w:name="_Toc240614434"/>
      <w:r w:rsidRPr="00614EF9">
        <w:rPr>
          <w:lang w:val="fr-FR"/>
        </w:rPr>
        <w:lastRenderedPageBreak/>
        <w:t>Calendrier de mise en œuvre 2027-2029</w:t>
      </w:r>
      <w:bookmarkEnd w:id="222"/>
      <w:bookmarkEnd w:id="223"/>
      <w:bookmarkEnd w:id="224"/>
    </w:p>
    <w:p w14:paraId="7A86B9AB" w14:textId="77777777" w:rsidR="007C757E" w:rsidRPr="00614EF9" w:rsidRDefault="005C3193" w:rsidP="007D4BE4">
      <w:pPr>
        <w:pStyle w:val="Titre2"/>
        <w:rPr>
          <w:lang w:val="fr-FR"/>
        </w:rPr>
      </w:pPr>
      <w:bookmarkStart w:id="225" w:name="_Toc240614435"/>
      <w:r w:rsidRPr="00614EF9">
        <w:rPr>
          <w:lang w:val="fr-FR"/>
        </w:rPr>
        <w:t>Chronologie</w:t>
      </w:r>
      <w:bookmarkEnd w:id="225"/>
    </w:p>
    <w:p w14:paraId="1D8DC298" w14:textId="77777777" w:rsidR="005C3193" w:rsidRPr="00614EF9" w:rsidRDefault="009514E2">
      <w:pPr>
        <w:spacing w:before="60"/>
        <w:rPr>
          <w:lang w:val="fr-FR"/>
        </w:rPr>
      </w:pPr>
      <w:r w:rsidRPr="00614EF9">
        <w:rPr>
          <w:lang w:val="fr-FR"/>
        </w:rPr>
        <w:t>Le plan de transition court de l’adoption du PNAF, édition 2025, à l’horizon 2029. L’année 2026 est consacrée au diagnostic, à la consultation publique et à l’adoption du présent plan. Les opérations de libération, de migration et de réallocation se déroulent de 2027 à 2029.</w:t>
      </w:r>
    </w:p>
    <w:p w14:paraId="626F0E9E" w14:textId="77777777" w:rsidR="003A2650" w:rsidRPr="00614EF9" w:rsidRDefault="005C3193">
      <w:pPr>
        <w:spacing w:before="60"/>
        <w:rPr>
          <w:lang w:val="fr-FR"/>
        </w:rPr>
      </w:pPr>
      <w:r w:rsidRPr="00614EF9">
        <w:rPr>
          <w:lang w:val="fr-FR"/>
        </w:rPr>
        <w:t>La chronologie des opérations obéit aux critères suivants.</w:t>
      </w:r>
    </w:p>
    <w:p w14:paraId="5990B597" w14:textId="079CFE2F"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Fondement international</w:t>
      </w:r>
      <w:r w:rsidRPr="00614EF9">
        <w:rPr>
          <w:rFonts w:ascii="Century Gothic" w:hAnsi="Century Gothic"/>
          <w:sz w:val="24"/>
          <w:szCs w:val="24"/>
          <w:lang w:val="fr-FR"/>
        </w:rPr>
        <w:t xml:space="preserve"> : les bandes dont l'attribution au service mobile est acquise au Tableau d'attribution </w:t>
      </w:r>
      <w:r w:rsidR="00796832" w:rsidRPr="00614EF9">
        <w:rPr>
          <w:rFonts w:ascii="Century Gothic" w:hAnsi="Century Gothic"/>
          <w:sz w:val="24"/>
          <w:szCs w:val="24"/>
          <w:lang w:val="fr-FR"/>
        </w:rPr>
        <w:t xml:space="preserve">du RR </w:t>
      </w:r>
      <w:r w:rsidRPr="00614EF9">
        <w:rPr>
          <w:rFonts w:ascii="Century Gothic" w:hAnsi="Century Gothic"/>
          <w:sz w:val="24"/>
          <w:szCs w:val="24"/>
          <w:lang w:val="fr-FR"/>
        </w:rPr>
        <w:t>ou par note de renvoi applicable au Niger sont traitées en premier ; celles qui en sont dépourvues ne sont pas libérées avant l'obtention d'une base d'allocation.</w:t>
      </w:r>
    </w:p>
    <w:p w14:paraId="1F9334CE"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Facilité de libération</w:t>
      </w:r>
      <w:r w:rsidRPr="00614EF9">
        <w:rPr>
          <w:rFonts w:ascii="Century Gothic" w:hAnsi="Century Gothic"/>
          <w:sz w:val="24"/>
          <w:szCs w:val="24"/>
          <w:lang w:val="fr-FR"/>
        </w:rPr>
        <w:t xml:space="preserve"> : les bandes dont la libération ne suppose pas de migration d'équipements sont traitées en premier.</w:t>
      </w:r>
    </w:p>
    <w:p w14:paraId="6D5D793B"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Maturité de l'écosystème</w:t>
      </w:r>
      <w:r w:rsidRPr="00614EF9">
        <w:rPr>
          <w:rFonts w:ascii="Century Gothic" w:hAnsi="Century Gothic"/>
          <w:sz w:val="24"/>
          <w:szCs w:val="24"/>
          <w:lang w:val="fr-FR"/>
        </w:rPr>
        <w:t xml:space="preserve"> : les bandes dont les équipements et terminaux sont disponibles et harmonisés sont réallouées prioritairement.</w:t>
      </w:r>
    </w:p>
    <w:p w14:paraId="3600C7B1" w14:textId="43194396"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Dépendances réglementaires</w:t>
      </w:r>
      <w:r w:rsidRPr="00614EF9">
        <w:rPr>
          <w:rFonts w:ascii="Century Gothic" w:hAnsi="Century Gothic"/>
          <w:sz w:val="24"/>
          <w:szCs w:val="24"/>
          <w:lang w:val="fr-FR"/>
        </w:rPr>
        <w:t xml:space="preserve"> : les bandes dont l'ouverture suppose la mise en place préalable d'un cadre technique </w:t>
      </w:r>
      <w:r w:rsidR="00B555A6" w:rsidRPr="00614EF9">
        <w:rPr>
          <w:rFonts w:ascii="Century Gothic" w:hAnsi="Century Gothic"/>
          <w:sz w:val="24"/>
          <w:szCs w:val="24"/>
          <w:lang w:val="fr-FR"/>
        </w:rPr>
        <w:t>(</w:t>
      </w:r>
      <w:r w:rsidRPr="008E6080">
        <w:rPr>
          <w:rFonts w:ascii="Century Gothic" w:hAnsi="Century Gothic"/>
          <w:sz w:val="24"/>
          <w:szCs w:val="24"/>
          <w:lang w:val="fr-FR"/>
        </w:rPr>
        <w:t>coordination automatisée des fréquences, zones de coordination</w:t>
      </w:r>
      <w:r w:rsidR="008E6080" w:rsidRPr="008E6080">
        <w:rPr>
          <w:rFonts w:ascii="Century Gothic" w:hAnsi="Century Gothic"/>
          <w:sz w:val="24"/>
          <w:szCs w:val="24"/>
          <w:lang w:val="fr-FR"/>
        </w:rPr>
        <w:t>, inscription dans le Tableau d’Attribution des Fréquences</w:t>
      </w:r>
      <w:r w:rsidR="00B555A6" w:rsidRPr="00614EF9">
        <w:rPr>
          <w:rFonts w:ascii="Century Gothic" w:hAnsi="Century Gothic"/>
          <w:sz w:val="24"/>
          <w:szCs w:val="24"/>
          <w:lang w:val="fr-FR"/>
        </w:rPr>
        <w:t>)</w:t>
      </w:r>
      <w:r w:rsidRPr="00614EF9">
        <w:rPr>
          <w:rFonts w:ascii="Century Gothic" w:hAnsi="Century Gothic"/>
          <w:sz w:val="24"/>
          <w:szCs w:val="24"/>
          <w:lang w:val="fr-FR"/>
        </w:rPr>
        <w:t xml:space="preserve"> sont programmées après l'établissement de ce cadre.</w:t>
      </w:r>
    </w:p>
    <w:p w14:paraId="56F9A37F"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Dépendances internationales</w:t>
      </w:r>
      <w:r w:rsidRPr="00614EF9">
        <w:rPr>
          <w:rFonts w:ascii="Century Gothic" w:hAnsi="Century Gothic"/>
          <w:sz w:val="24"/>
          <w:szCs w:val="24"/>
          <w:lang w:val="fr-FR"/>
        </w:rPr>
        <w:t xml:space="preserve"> : les opérations appelant une modification du plan GE06 et une coordination frontalière sont programmées en tenant compte des délais propres à ces procédures.</w:t>
      </w:r>
    </w:p>
    <w:p w14:paraId="420222F1" w14:textId="77777777" w:rsidR="003A2650" w:rsidRPr="00614EF9" w:rsidRDefault="009514E2">
      <w:pPr>
        <w:pStyle w:val="Paragraphedeliste"/>
        <w:numPr>
          <w:ilvl w:val="0"/>
          <w:numId w:val="1"/>
        </w:numPr>
        <w:spacing w:after="60"/>
        <w:jc w:val="both"/>
        <w:rPr>
          <w:rFonts w:ascii="Century Gothic" w:hAnsi="Century Gothic"/>
          <w:sz w:val="24"/>
          <w:szCs w:val="24"/>
          <w:lang w:val="fr-FR"/>
        </w:rPr>
      </w:pPr>
      <w:r w:rsidRPr="00614EF9">
        <w:rPr>
          <w:rFonts w:ascii="Century Gothic" w:hAnsi="Century Gothic"/>
          <w:b/>
          <w:bCs/>
          <w:sz w:val="24"/>
          <w:szCs w:val="24"/>
          <w:lang w:val="fr-FR"/>
        </w:rPr>
        <w:t>Lissage de l'effort financier</w:t>
      </w:r>
      <w:r w:rsidRPr="00614EF9">
        <w:rPr>
          <w:rFonts w:ascii="Century Gothic" w:hAnsi="Century Gothic"/>
          <w:sz w:val="24"/>
          <w:szCs w:val="24"/>
          <w:lang w:val="fr-FR"/>
        </w:rPr>
        <w:t xml:space="preserve"> : la charge est répartie sur la période afin de ne pas concentrer les investissements sur un même exercice.</w:t>
      </w:r>
    </w:p>
    <w:p w14:paraId="67034F4A" w14:textId="77777777" w:rsidR="00B555A6" w:rsidRPr="00614EF9" w:rsidRDefault="009514E2" w:rsidP="0066730D">
      <w:pPr>
        <w:pStyle w:val="Titre3"/>
        <w:rPr>
          <w:lang w:val="fr-FR"/>
        </w:rPr>
      </w:pPr>
      <w:bookmarkStart w:id="226" w:name="_Toc240614436"/>
      <w:r w:rsidRPr="00614EF9">
        <w:rPr>
          <w:lang w:val="fr-FR"/>
        </w:rPr>
        <w:t>Ordre retenu</w:t>
      </w:r>
      <w:bookmarkEnd w:id="226"/>
    </w:p>
    <w:p w14:paraId="0505BEA0" w14:textId="1B0963F3" w:rsidR="003A2650" w:rsidRPr="00614EF9" w:rsidRDefault="009514E2">
      <w:pPr>
        <w:spacing w:before="60"/>
        <w:rPr>
          <w:lang w:val="fr-FR"/>
        </w:rPr>
      </w:pPr>
      <w:r w:rsidRPr="00614EF9">
        <w:rPr>
          <w:lang w:val="fr-FR"/>
        </w:rPr>
        <w:t xml:space="preserve">L’application de ces critères conduit à exécuter, sur la période du plan, la libération de la bande 700 MHz, le réaménagement de la bande 3,5 GHz et l’ouverture de la bande 5 925-6 425 MHz. Le recouvrement partiel des phases reste possible lorsque les acteurs concernés diffèrent. Le volet 600 MHz est en revanche converti en une trajectoire préparatoire, dont les modalités sont précisées </w:t>
      </w:r>
      <w:r w:rsidR="00B70948" w:rsidRPr="00614EF9">
        <w:rPr>
          <w:lang w:val="fr-FR"/>
        </w:rPr>
        <w:t xml:space="preserve">à la section </w:t>
      </w:r>
      <w:r w:rsidR="00B70948" w:rsidRPr="00614EF9">
        <w:rPr>
          <w:lang w:val="fr-FR"/>
        </w:rPr>
        <w:fldChar w:fldCharType="begin"/>
      </w:r>
      <w:r w:rsidR="00B70948" w:rsidRPr="00614EF9">
        <w:rPr>
          <w:lang w:val="fr-FR"/>
        </w:rPr>
        <w:instrText xml:space="preserve"> REF _Ref240508657 \r \h </w:instrText>
      </w:r>
      <w:r w:rsidR="008D0439" w:rsidRPr="00614EF9">
        <w:rPr>
          <w:lang w:val="fr-FR"/>
        </w:rPr>
        <w:instrText xml:space="preserve"> \* MERGEFORMAT </w:instrText>
      </w:r>
      <w:r w:rsidR="00B70948" w:rsidRPr="00614EF9">
        <w:rPr>
          <w:lang w:val="fr-FR"/>
        </w:rPr>
      </w:r>
      <w:r w:rsidR="00B70948" w:rsidRPr="00614EF9">
        <w:rPr>
          <w:lang w:val="fr-FR"/>
        </w:rPr>
        <w:fldChar w:fldCharType="separate"/>
      </w:r>
      <w:r w:rsidR="00B70948" w:rsidRPr="00614EF9">
        <w:rPr>
          <w:lang w:val="fr-FR"/>
        </w:rPr>
        <w:t>8.3</w:t>
      </w:r>
      <w:r w:rsidR="00B70948" w:rsidRPr="00614EF9">
        <w:rPr>
          <w:lang w:val="fr-FR"/>
        </w:rPr>
        <w:fldChar w:fldCharType="end"/>
      </w:r>
      <w:r w:rsidRPr="00614EF9">
        <w:rPr>
          <w:lang w:val="fr-FR"/>
        </w:rPr>
        <w:t>.</w:t>
      </w:r>
    </w:p>
    <w:p w14:paraId="486EB373" w14:textId="77777777" w:rsidR="00B555A6" w:rsidRPr="00614EF9" w:rsidRDefault="009514E2" w:rsidP="0066730D">
      <w:pPr>
        <w:pStyle w:val="Titre3"/>
        <w:rPr>
          <w:lang w:val="fr-FR"/>
        </w:rPr>
      </w:pPr>
      <w:bookmarkStart w:id="227" w:name="_Toc240614437"/>
      <w:r w:rsidRPr="00614EF9">
        <w:rPr>
          <w:lang w:val="fr-FR"/>
        </w:rPr>
        <w:t>Contrainte de calendrier</w:t>
      </w:r>
      <w:bookmarkEnd w:id="227"/>
    </w:p>
    <w:p w14:paraId="59E72CE0" w14:textId="77777777" w:rsidR="00B555A6" w:rsidRPr="00614EF9" w:rsidRDefault="009514E2">
      <w:pPr>
        <w:spacing w:before="60"/>
        <w:rPr>
          <w:lang w:val="fr-FR"/>
        </w:rPr>
      </w:pPr>
      <w:r w:rsidRPr="00614EF9">
        <w:rPr>
          <w:lang w:val="fr-FR"/>
        </w:rPr>
        <w:t xml:space="preserve">Le réaménagement de la bande 3,5 GHz doit être achevé avant la fin de 2029, </w:t>
      </w:r>
      <w:r w:rsidR="00B555A6" w:rsidRPr="00614EF9">
        <w:rPr>
          <w:lang w:val="fr-FR"/>
        </w:rPr>
        <w:t xml:space="preserve">car </w:t>
      </w:r>
      <w:r w:rsidRPr="00614EF9">
        <w:rPr>
          <w:lang w:val="fr-FR"/>
        </w:rPr>
        <w:t xml:space="preserve">un opérateur </w:t>
      </w:r>
      <w:r w:rsidR="00B555A6" w:rsidRPr="00614EF9">
        <w:rPr>
          <w:lang w:val="fr-FR"/>
        </w:rPr>
        <w:t>a</w:t>
      </w:r>
      <w:r w:rsidRPr="00614EF9">
        <w:rPr>
          <w:lang w:val="fr-FR"/>
        </w:rPr>
        <w:t xml:space="preserve"> fondé sur cette échéance son projet de lancement commercial de la cinquième génération en 2030. Cette contrainte est ferme. </w:t>
      </w:r>
    </w:p>
    <w:p w14:paraId="14B16F02" w14:textId="77777777" w:rsidR="00B555A6" w:rsidRPr="00614EF9" w:rsidRDefault="009514E2">
      <w:pPr>
        <w:spacing w:before="60"/>
        <w:rPr>
          <w:lang w:val="fr-FR"/>
        </w:rPr>
      </w:pPr>
      <w:r w:rsidRPr="00614EF9">
        <w:rPr>
          <w:lang w:val="fr-FR"/>
        </w:rPr>
        <w:t xml:space="preserve">À l'inverse, les </w:t>
      </w:r>
      <w:r w:rsidR="00B555A6" w:rsidRPr="00614EF9">
        <w:rPr>
          <w:lang w:val="fr-FR"/>
        </w:rPr>
        <w:t>FAI</w:t>
      </w:r>
      <w:r w:rsidRPr="00614EF9">
        <w:rPr>
          <w:lang w:val="fr-FR"/>
        </w:rPr>
        <w:t xml:space="preserve"> demandent que le volet qui les concerne ne comporte pas d'échéance automatique : le délai ne court, selon eux, qu'à compter de la réunion effective des prérequis. </w:t>
      </w:r>
    </w:p>
    <w:p w14:paraId="75FC6D33" w14:textId="77777777" w:rsidR="00001329" w:rsidRPr="00614EF9" w:rsidRDefault="009514E2">
      <w:pPr>
        <w:spacing w:before="60"/>
        <w:rPr>
          <w:lang w:val="fr-FR"/>
        </w:rPr>
      </w:pPr>
      <w:r w:rsidRPr="00614EF9">
        <w:rPr>
          <w:lang w:val="fr-FR"/>
        </w:rPr>
        <w:t>L'A</w:t>
      </w:r>
      <w:r w:rsidR="00B555A6" w:rsidRPr="00614EF9">
        <w:rPr>
          <w:lang w:val="fr-FR"/>
        </w:rPr>
        <w:t>RCEP</w:t>
      </w:r>
      <w:r w:rsidRPr="00614EF9">
        <w:rPr>
          <w:lang w:val="fr-FR"/>
        </w:rPr>
        <w:t xml:space="preserve"> concilie ces deux exigences en retenant une échéance ferme pour la bande 3,5 GHz et une échéance conditionnelle pour la migration des réseaux d'accès hertzien fixe.</w:t>
      </w:r>
    </w:p>
    <w:p w14:paraId="6FF636AF" w14:textId="77777777" w:rsidR="00B555A6" w:rsidRPr="00614EF9" w:rsidRDefault="00B555A6" w:rsidP="0066730D">
      <w:pPr>
        <w:pStyle w:val="Titre3"/>
        <w:rPr>
          <w:lang w:val="fr-FR"/>
        </w:rPr>
      </w:pPr>
      <w:bookmarkStart w:id="228" w:name="_Toc240614438"/>
      <w:r w:rsidRPr="00614EF9">
        <w:rPr>
          <w:lang w:val="fr-FR"/>
        </w:rPr>
        <w:lastRenderedPageBreak/>
        <w:t>Indépendance des calendriers</w:t>
      </w:r>
      <w:bookmarkEnd w:id="228"/>
    </w:p>
    <w:p w14:paraId="539CCCD6" w14:textId="77777777" w:rsidR="00B555A6" w:rsidRPr="00614EF9" w:rsidRDefault="00B555A6" w:rsidP="00B555A6">
      <w:pPr>
        <w:spacing w:before="60"/>
        <w:rPr>
          <w:lang w:val="fr-FR"/>
        </w:rPr>
      </w:pPr>
      <w:r w:rsidRPr="00614EF9">
        <w:rPr>
          <w:lang w:val="fr-FR"/>
        </w:rPr>
        <w:t>Les volets 700 MHz, 3,5 GHz et 5 925-6 425 MHz sont conduits indépendamment du volet 600 MHz. La trajectoire préparatoire de ce dernier n’emporte aucune conséquence sur leur exécution.</w:t>
      </w:r>
    </w:p>
    <w:p w14:paraId="416B11EC" w14:textId="77777777" w:rsidR="007C757E" w:rsidRPr="00614EF9" w:rsidRDefault="009514E2" w:rsidP="00857484">
      <w:pPr>
        <w:pStyle w:val="Titre2"/>
        <w:rPr>
          <w:lang w:val="fr-FR"/>
        </w:rPr>
      </w:pPr>
      <w:bookmarkStart w:id="229" w:name="_Toc232062317"/>
      <w:bookmarkStart w:id="230" w:name="_Toc236636394"/>
      <w:bookmarkStart w:id="231" w:name="_Toc240614439"/>
      <w:r w:rsidRPr="00614EF9">
        <w:rPr>
          <w:lang w:val="fr-FR"/>
        </w:rPr>
        <w:t>Phases et jalons</w:t>
      </w:r>
      <w:bookmarkEnd w:id="229"/>
      <w:bookmarkEnd w:id="230"/>
      <w:bookmarkEnd w:id="231"/>
    </w:p>
    <w:p w14:paraId="439B5EF4" w14:textId="77777777" w:rsidR="00857484" w:rsidRPr="00614EF9" w:rsidRDefault="00857484" w:rsidP="0066730D">
      <w:pPr>
        <w:pStyle w:val="Titre3"/>
        <w:rPr>
          <w:lang w:val="fr-FR"/>
        </w:rPr>
      </w:pPr>
      <w:bookmarkStart w:id="232" w:name="_Phases"/>
      <w:bookmarkStart w:id="233" w:name="_Toc240614440"/>
      <w:bookmarkEnd w:id="232"/>
      <w:r w:rsidRPr="00614EF9">
        <w:rPr>
          <w:lang w:val="fr-FR"/>
        </w:rPr>
        <w:t>Phases</w:t>
      </w:r>
      <w:bookmarkEnd w:id="233"/>
    </w:p>
    <w:p w14:paraId="3A9696C6" w14:textId="77777777" w:rsidR="00857484" w:rsidRPr="00614EF9" w:rsidRDefault="00857484" w:rsidP="00857484">
      <w:pPr>
        <w:spacing w:before="60"/>
        <w:rPr>
          <w:szCs w:val="24"/>
          <w:lang w:val="fr-FR"/>
        </w:rPr>
      </w:pPr>
      <w:r w:rsidRPr="00614EF9">
        <w:rPr>
          <w:szCs w:val="24"/>
          <w:lang w:val="fr-FR"/>
        </w:rPr>
        <w:t>Les phases suivantes ont été retenues pour la mise en œuvre du plan de transition.</w:t>
      </w:r>
    </w:p>
    <w:p w14:paraId="3E23057E" w14:textId="1154DEB7" w:rsidR="00857484" w:rsidRPr="00614EF9" w:rsidRDefault="009514E2" w:rsidP="00A1510B">
      <w:pPr>
        <w:pStyle w:val="Titre4"/>
        <w:rPr>
          <w:lang w:val="fr-FR"/>
        </w:rPr>
      </w:pPr>
      <w:bookmarkStart w:id="234" w:name="_Toc240614441"/>
      <w:r w:rsidRPr="00614EF9">
        <w:rPr>
          <w:lang w:val="fr-FR"/>
        </w:rPr>
        <w:t>Phase préparatoire</w:t>
      </w:r>
      <w:r w:rsidR="00857484" w:rsidRPr="00614EF9">
        <w:rPr>
          <w:lang w:val="fr-FR"/>
        </w:rPr>
        <w:t xml:space="preserve">, </w:t>
      </w:r>
      <w:r w:rsidR="008623B5" w:rsidRPr="00614EF9">
        <w:rPr>
          <w:lang w:val="fr-FR"/>
        </w:rPr>
        <w:t>2026 :</w:t>
      </w:r>
      <w:bookmarkEnd w:id="234"/>
      <w:r w:rsidR="00857484" w:rsidRPr="00614EF9">
        <w:rPr>
          <w:lang w:val="fr-FR"/>
        </w:rPr>
        <w:t xml:space="preserve"> </w:t>
      </w:r>
    </w:p>
    <w:p w14:paraId="60968B43" w14:textId="0860908E"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A</w:t>
      </w:r>
      <w:r w:rsidR="00857484" w:rsidRPr="00614EF9">
        <w:rPr>
          <w:rFonts w:ascii="Century Gothic" w:hAnsi="Century Gothic"/>
          <w:sz w:val="24"/>
          <w:szCs w:val="24"/>
          <w:lang w:val="fr-FR"/>
        </w:rPr>
        <w:t xml:space="preserve">doption du plan de </w:t>
      </w:r>
      <w:r w:rsidR="008623B5" w:rsidRPr="00614EF9">
        <w:rPr>
          <w:rFonts w:ascii="Century Gothic" w:hAnsi="Century Gothic"/>
          <w:sz w:val="24"/>
          <w:szCs w:val="24"/>
          <w:lang w:val="fr-FR"/>
        </w:rPr>
        <w:t>transition ;</w:t>
      </w:r>
    </w:p>
    <w:p w14:paraId="0A69770A" w14:textId="77777777" w:rsidR="003A2650"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Installation du comité de pilotage ; </w:t>
      </w:r>
    </w:p>
    <w:p w14:paraId="0B086B1D" w14:textId="4BA82D1C" w:rsidR="00857484" w:rsidRPr="00614EF9" w:rsidRDefault="009514E2" w:rsidP="00A1510B">
      <w:pPr>
        <w:pStyle w:val="Titre4"/>
        <w:rPr>
          <w:lang w:val="fr-FR"/>
        </w:rPr>
      </w:pPr>
      <w:bookmarkStart w:id="235" w:name="_Toc240614442"/>
      <w:r w:rsidRPr="00614EF9">
        <w:rPr>
          <w:lang w:val="fr-FR"/>
        </w:rPr>
        <w:t>Phase 1</w:t>
      </w:r>
      <w:r w:rsidR="00857484" w:rsidRPr="00614EF9">
        <w:rPr>
          <w:lang w:val="fr-FR"/>
        </w:rPr>
        <w:t xml:space="preserve">, </w:t>
      </w:r>
      <w:r w:rsidRPr="00614EF9">
        <w:rPr>
          <w:lang w:val="fr-FR"/>
        </w:rPr>
        <w:t>Notification et ingénierie (2027</w:t>
      </w:r>
      <w:r w:rsidR="008623B5" w:rsidRPr="00614EF9">
        <w:rPr>
          <w:lang w:val="fr-FR"/>
        </w:rPr>
        <w:t>) :</w:t>
      </w:r>
      <w:bookmarkEnd w:id="235"/>
      <w:r w:rsidR="00857484" w:rsidRPr="00614EF9">
        <w:rPr>
          <w:lang w:val="fr-FR"/>
        </w:rPr>
        <w:t xml:space="preserve"> </w:t>
      </w:r>
    </w:p>
    <w:p w14:paraId="5D01FF04" w14:textId="77777777" w:rsidR="00857484" w:rsidRPr="00614EF9" w:rsidRDefault="009514E2"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Notification individuelle aux assignataires impactés des volets 700 MHz, 3,5 GHz et 5 925-6 425 MHz ;</w:t>
      </w:r>
    </w:p>
    <w:p w14:paraId="30A1213C"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Établissement des fiches de migration par bande ; </w:t>
      </w:r>
    </w:p>
    <w:p w14:paraId="3084BA0A"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Enregistrement des stations terriennes et établissement des zones de coordination ; </w:t>
      </w:r>
    </w:p>
    <w:p w14:paraId="6EE1D0CB"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Mise en place du mécanisme de financement et consignation des contributions ; </w:t>
      </w:r>
    </w:p>
    <w:p w14:paraId="681400AB"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Campagne conjointe de mesures d'intermodulation ; </w:t>
      </w:r>
    </w:p>
    <w:p w14:paraId="626A82CD"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Évaluation de l'audience résiduelle de la diffusion analogique dans les quatre localités concernées ; </w:t>
      </w:r>
    </w:p>
    <w:p w14:paraId="2B28D4C8" w14:textId="77777777" w:rsidR="003A2650"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Régularisation des émetteurs exploitant des canaux non allotis.</w:t>
      </w:r>
    </w:p>
    <w:p w14:paraId="5877BC1F" w14:textId="0B277932" w:rsidR="00857484" w:rsidRPr="00614EF9" w:rsidRDefault="009514E2" w:rsidP="00A1510B">
      <w:pPr>
        <w:pStyle w:val="Titre4"/>
        <w:rPr>
          <w:lang w:val="fr-FR"/>
        </w:rPr>
      </w:pPr>
      <w:bookmarkStart w:id="236" w:name="_Phase_2,_Libération"/>
      <w:bookmarkStart w:id="237" w:name="_Toc240614443"/>
      <w:bookmarkEnd w:id="236"/>
      <w:r w:rsidRPr="00614EF9">
        <w:rPr>
          <w:lang w:val="fr-FR"/>
        </w:rPr>
        <w:t>Phase 2</w:t>
      </w:r>
      <w:r w:rsidR="00857484" w:rsidRPr="00614EF9">
        <w:rPr>
          <w:lang w:val="fr-FR"/>
        </w:rPr>
        <w:t xml:space="preserve">, </w:t>
      </w:r>
      <w:r w:rsidRPr="00614EF9">
        <w:rPr>
          <w:lang w:val="fr-FR"/>
        </w:rPr>
        <w:t>Libération et migration (2027-2028</w:t>
      </w:r>
      <w:r w:rsidR="008623B5" w:rsidRPr="00614EF9">
        <w:rPr>
          <w:lang w:val="fr-FR"/>
        </w:rPr>
        <w:t>) :</w:t>
      </w:r>
      <w:bookmarkEnd w:id="237"/>
    </w:p>
    <w:p w14:paraId="0478C556" w14:textId="77777777" w:rsidR="00A17D2A"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Élaboration des conditions techniques d’exploitation de la bande 5 925-6 425 MHz ;</w:t>
      </w:r>
    </w:p>
    <w:p w14:paraId="28372014" w14:textId="77777777" w:rsidR="00857484" w:rsidRPr="00614EF9" w:rsidRDefault="009514E2"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Mise en place des mesures de continuité dans les quatre localités dépourvues d'émetteur numérique, puis extinction de la diffusion analogique et libération de la bande 700 MHz ;</w:t>
      </w:r>
    </w:p>
    <w:p w14:paraId="65D65CB4" w14:textId="77777777" w:rsidR="00857484" w:rsidRPr="00614EF9" w:rsidRDefault="00857484"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Installation des dispositifs de filtrage sur les sites de radiodiffusion sonore et sur les stations terriennes régionales ; </w:t>
      </w:r>
    </w:p>
    <w:p w14:paraId="6BAF637E" w14:textId="77777777" w:rsidR="00857484" w:rsidRPr="00614EF9" w:rsidRDefault="00857484"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Réaménagement de la bande 3,5 GHz ; </w:t>
      </w:r>
    </w:p>
    <w:p w14:paraId="4288CD83" w14:textId="77777777" w:rsidR="003A2650" w:rsidRPr="00614EF9" w:rsidRDefault="00857484"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Migration des réseaux d’accès hertzien fixe vers la bande 5 925-6 425 MHz.</w:t>
      </w:r>
    </w:p>
    <w:p w14:paraId="1540F448" w14:textId="77777777" w:rsidR="00857484" w:rsidRPr="00614EF9" w:rsidRDefault="009514E2" w:rsidP="00A1510B">
      <w:pPr>
        <w:pStyle w:val="Titre4"/>
        <w:rPr>
          <w:lang w:val="fr-FR"/>
        </w:rPr>
      </w:pPr>
      <w:bookmarkStart w:id="238" w:name="_Phase_3,_Réallocation"/>
      <w:bookmarkStart w:id="239" w:name="_Toc240614444"/>
      <w:bookmarkEnd w:id="238"/>
      <w:r w:rsidRPr="00614EF9">
        <w:rPr>
          <w:lang w:val="fr-FR"/>
        </w:rPr>
        <w:t>Phase 3</w:t>
      </w:r>
      <w:r w:rsidR="00857484" w:rsidRPr="00614EF9">
        <w:rPr>
          <w:lang w:val="fr-FR"/>
        </w:rPr>
        <w:t xml:space="preserve">, </w:t>
      </w:r>
      <w:r w:rsidRPr="00614EF9">
        <w:rPr>
          <w:lang w:val="fr-FR"/>
        </w:rPr>
        <w:t>Réallocation et mise en service (2028-2029</w:t>
      </w:r>
      <w:proofErr w:type="gramStart"/>
      <w:r w:rsidRPr="00614EF9">
        <w:rPr>
          <w:lang w:val="fr-FR"/>
        </w:rPr>
        <w:t>)</w:t>
      </w:r>
      <w:r w:rsidR="00857484" w:rsidRPr="00614EF9">
        <w:rPr>
          <w:lang w:val="fr-FR"/>
        </w:rPr>
        <w:t>:</w:t>
      </w:r>
      <w:bookmarkEnd w:id="239"/>
      <w:proofErr w:type="gramEnd"/>
    </w:p>
    <w:p w14:paraId="77E831E3" w14:textId="77777777" w:rsidR="00857484" w:rsidRPr="00614EF9" w:rsidRDefault="009514E2"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Constat contradictoire de libération bande par bande ; </w:t>
      </w:r>
    </w:p>
    <w:p w14:paraId="21CED976"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Lancement des procédures d'attribution ; </w:t>
      </w:r>
    </w:p>
    <w:p w14:paraId="1779516C" w14:textId="3EB546B6"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Délivrance des </w:t>
      </w:r>
      <w:r w:rsidR="00857484" w:rsidRPr="00614EF9">
        <w:rPr>
          <w:rFonts w:ascii="Century Gothic" w:hAnsi="Century Gothic"/>
          <w:sz w:val="24"/>
          <w:szCs w:val="24"/>
          <w:lang w:val="fr-FR"/>
        </w:rPr>
        <w:t>licences</w:t>
      </w:r>
      <w:r w:rsidRPr="00614EF9">
        <w:rPr>
          <w:rFonts w:ascii="Century Gothic" w:hAnsi="Century Gothic"/>
          <w:sz w:val="24"/>
          <w:szCs w:val="24"/>
          <w:lang w:val="fr-FR"/>
        </w:rPr>
        <w:t xml:space="preserve"> assorties de</w:t>
      </w:r>
      <w:r w:rsidR="00857484" w:rsidRPr="00614EF9">
        <w:rPr>
          <w:rFonts w:ascii="Century Gothic" w:hAnsi="Century Gothic"/>
          <w:sz w:val="24"/>
          <w:szCs w:val="24"/>
          <w:lang w:val="fr-FR"/>
        </w:rPr>
        <w:t xml:space="preserve"> leurs cahiers des </w:t>
      </w:r>
      <w:r w:rsidR="008623B5" w:rsidRPr="00614EF9">
        <w:rPr>
          <w:rFonts w:ascii="Century Gothic" w:hAnsi="Century Gothic"/>
          <w:sz w:val="24"/>
          <w:szCs w:val="24"/>
          <w:lang w:val="fr-FR"/>
        </w:rPr>
        <w:t>charges ;</w:t>
      </w:r>
    </w:p>
    <w:p w14:paraId="24354FA3" w14:textId="77777777"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Mise en service commerciale ; </w:t>
      </w:r>
    </w:p>
    <w:p w14:paraId="2C3CEAEB" w14:textId="2638C181" w:rsidR="00857484"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Contrôle du respect des </w:t>
      </w:r>
      <w:r w:rsidR="008623B5" w:rsidRPr="00614EF9">
        <w:rPr>
          <w:rFonts w:ascii="Century Gothic" w:hAnsi="Century Gothic"/>
          <w:sz w:val="24"/>
          <w:szCs w:val="24"/>
          <w:lang w:val="fr-FR"/>
        </w:rPr>
        <w:t>conditions ;</w:t>
      </w:r>
      <w:r w:rsidRPr="00614EF9">
        <w:rPr>
          <w:rFonts w:ascii="Century Gothic" w:hAnsi="Century Gothic"/>
          <w:sz w:val="24"/>
          <w:szCs w:val="24"/>
          <w:lang w:val="fr-FR"/>
        </w:rPr>
        <w:t xml:space="preserve"> et </w:t>
      </w:r>
    </w:p>
    <w:p w14:paraId="380D16E2" w14:textId="77777777" w:rsidR="003A2650" w:rsidRPr="00614EF9" w:rsidRDefault="00A17D2A" w:rsidP="00857484">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lastRenderedPageBreak/>
        <w:t>Bilan d'exécution du plan de transition.</w:t>
      </w:r>
    </w:p>
    <w:p w14:paraId="6933A9F3" w14:textId="77777777" w:rsidR="00857484" w:rsidRPr="00614EF9" w:rsidRDefault="00857484" w:rsidP="0066730D">
      <w:pPr>
        <w:pStyle w:val="Titre3"/>
        <w:rPr>
          <w:lang w:val="fr-FR"/>
        </w:rPr>
      </w:pPr>
      <w:bookmarkStart w:id="240" w:name="_Toc240614445"/>
      <w:r w:rsidRPr="00614EF9">
        <w:rPr>
          <w:lang w:val="fr-FR"/>
        </w:rPr>
        <w:t>Jalons</w:t>
      </w:r>
      <w:bookmarkEnd w:id="240"/>
    </w:p>
    <w:p w14:paraId="7E0BC4E9" w14:textId="77777777" w:rsidR="00857484" w:rsidRPr="00614EF9" w:rsidRDefault="009514E2" w:rsidP="00857484">
      <w:pPr>
        <w:spacing w:before="60"/>
        <w:rPr>
          <w:szCs w:val="24"/>
          <w:lang w:val="fr-FR"/>
        </w:rPr>
      </w:pPr>
      <w:r w:rsidRPr="00614EF9">
        <w:rPr>
          <w:szCs w:val="24"/>
          <w:lang w:val="fr-FR"/>
        </w:rPr>
        <w:t xml:space="preserve">Trois jalons conditionnent le passage d'une phase à la suivante : </w:t>
      </w:r>
    </w:p>
    <w:p w14:paraId="248E2598" w14:textId="45901363" w:rsidR="00857484" w:rsidRPr="00614EF9" w:rsidRDefault="008623B5" w:rsidP="00A1510B">
      <w:pPr>
        <w:pStyle w:val="Paragraphedeliste"/>
        <w:numPr>
          <w:ilvl w:val="0"/>
          <w:numId w:val="22"/>
        </w:numPr>
        <w:spacing w:before="60"/>
        <w:jc w:val="both"/>
        <w:rPr>
          <w:rFonts w:ascii="Century Gothic" w:hAnsi="Century Gothic"/>
          <w:sz w:val="24"/>
          <w:szCs w:val="24"/>
          <w:lang w:val="fr-FR"/>
        </w:rPr>
      </w:pPr>
      <w:r w:rsidRPr="00614EF9">
        <w:rPr>
          <w:rFonts w:ascii="Century Gothic" w:hAnsi="Century Gothic"/>
          <w:sz w:val="24"/>
          <w:szCs w:val="24"/>
          <w:lang w:val="fr-FR"/>
        </w:rPr>
        <w:t>L’adoption du plan et l'installation du comité de pilotage à la fin de 2026 ;</w:t>
      </w:r>
    </w:p>
    <w:p w14:paraId="7C44F0F0" w14:textId="184DAF26" w:rsidR="00857484" w:rsidRPr="00614EF9" w:rsidRDefault="008623B5" w:rsidP="00A1510B">
      <w:pPr>
        <w:pStyle w:val="Paragraphedeliste"/>
        <w:numPr>
          <w:ilvl w:val="0"/>
          <w:numId w:val="22"/>
        </w:numPr>
        <w:spacing w:before="60"/>
        <w:jc w:val="both"/>
        <w:rPr>
          <w:rFonts w:ascii="Century Gothic" w:hAnsi="Century Gothic"/>
          <w:sz w:val="24"/>
          <w:szCs w:val="24"/>
          <w:lang w:val="fr-FR"/>
        </w:rPr>
      </w:pPr>
      <w:r w:rsidRPr="00614EF9">
        <w:rPr>
          <w:rFonts w:ascii="Century Gothic" w:hAnsi="Century Gothic"/>
          <w:sz w:val="24"/>
          <w:szCs w:val="24"/>
          <w:lang w:val="fr-FR"/>
        </w:rPr>
        <w:t xml:space="preserve">L’achèvement des notifications et la mise en place effective du financement à la fin de 2027 ; </w:t>
      </w:r>
    </w:p>
    <w:p w14:paraId="7BDC1448" w14:textId="3056C164" w:rsidR="003A2650" w:rsidRPr="00614EF9" w:rsidRDefault="008623B5" w:rsidP="00A1510B">
      <w:pPr>
        <w:pStyle w:val="Paragraphedeliste"/>
        <w:numPr>
          <w:ilvl w:val="0"/>
          <w:numId w:val="22"/>
        </w:numPr>
        <w:spacing w:before="60"/>
        <w:jc w:val="both"/>
        <w:rPr>
          <w:rFonts w:ascii="Century Gothic" w:hAnsi="Century Gothic"/>
          <w:sz w:val="24"/>
          <w:szCs w:val="24"/>
          <w:lang w:val="fr-FR"/>
        </w:rPr>
      </w:pPr>
      <w:r w:rsidRPr="00614EF9">
        <w:rPr>
          <w:rFonts w:ascii="Century Gothic" w:hAnsi="Century Gothic"/>
          <w:sz w:val="24"/>
          <w:szCs w:val="24"/>
          <w:lang w:val="fr-FR"/>
        </w:rPr>
        <w:t>Le constat de libération de la première bande à la fin de 2028.</w:t>
      </w:r>
    </w:p>
    <w:p w14:paraId="4502F9FA" w14:textId="77777777" w:rsidR="006150B4" w:rsidRPr="00614EF9" w:rsidRDefault="009514E2" w:rsidP="0066730D">
      <w:pPr>
        <w:pStyle w:val="Titre3"/>
        <w:rPr>
          <w:lang w:val="fr-FR"/>
        </w:rPr>
      </w:pPr>
      <w:bookmarkStart w:id="241" w:name="_Toc240614446"/>
      <w:r w:rsidRPr="00614EF9">
        <w:rPr>
          <w:lang w:val="fr-FR"/>
        </w:rPr>
        <w:t>Modalités de suivi</w:t>
      </w:r>
      <w:bookmarkEnd w:id="241"/>
    </w:p>
    <w:p w14:paraId="1E3CD459" w14:textId="77777777" w:rsidR="006150B4" w:rsidRPr="00614EF9" w:rsidRDefault="006150B4" w:rsidP="00857484">
      <w:pPr>
        <w:spacing w:before="60"/>
        <w:rPr>
          <w:lang w:val="fr-FR"/>
        </w:rPr>
      </w:pPr>
      <w:r w:rsidRPr="00614EF9">
        <w:rPr>
          <w:lang w:val="fr-FR"/>
        </w:rPr>
        <w:t>Le suivi de la mise en œuvre du plan repose sur les principes suivants :</w:t>
      </w:r>
    </w:p>
    <w:p w14:paraId="1EAB1CB9" w14:textId="77777777" w:rsidR="006150B4" w:rsidRPr="00614EF9" w:rsidRDefault="006150B4" w:rsidP="008623B5">
      <w:pPr>
        <w:pStyle w:val="Paragraphedeliste"/>
        <w:numPr>
          <w:ilvl w:val="0"/>
          <w:numId w:val="15"/>
        </w:numPr>
        <w:spacing w:before="60" w:after="60"/>
        <w:ind w:left="714" w:hanging="357"/>
        <w:jc w:val="both"/>
        <w:rPr>
          <w:rFonts w:ascii="Century Gothic" w:hAnsi="Century Gothic"/>
          <w:sz w:val="24"/>
          <w:szCs w:val="24"/>
          <w:lang w:val="fr-FR"/>
        </w:rPr>
      </w:pPr>
      <w:r w:rsidRPr="00614EF9">
        <w:rPr>
          <w:rFonts w:ascii="Century Gothic" w:hAnsi="Century Gothic"/>
          <w:sz w:val="24"/>
          <w:szCs w:val="24"/>
          <w:lang w:val="fr-FR"/>
        </w:rPr>
        <w:t>La tenue de réunions périodiques du comité de pilotage, avec les contributeurs concernés par l’ordre du jour ;</w:t>
      </w:r>
    </w:p>
    <w:p w14:paraId="25799623" w14:textId="77777777" w:rsidR="006150B4" w:rsidRPr="00614EF9" w:rsidRDefault="006150B4" w:rsidP="008623B5">
      <w:pPr>
        <w:pStyle w:val="Paragraphedeliste"/>
        <w:numPr>
          <w:ilvl w:val="0"/>
          <w:numId w:val="15"/>
        </w:numPr>
        <w:spacing w:before="60" w:after="60"/>
        <w:ind w:left="714" w:hanging="357"/>
        <w:jc w:val="both"/>
        <w:rPr>
          <w:rFonts w:ascii="Century Gothic" w:hAnsi="Century Gothic"/>
          <w:sz w:val="24"/>
          <w:szCs w:val="24"/>
          <w:lang w:val="fr-FR"/>
        </w:rPr>
      </w:pPr>
      <w:r w:rsidRPr="00614EF9">
        <w:rPr>
          <w:rFonts w:ascii="Century Gothic" w:hAnsi="Century Gothic"/>
          <w:sz w:val="24"/>
          <w:szCs w:val="24"/>
          <w:lang w:val="fr-FR"/>
        </w:rPr>
        <w:t>La réalisation d’un projet pilote pour chaque volet avant sa généralisation ;</w:t>
      </w:r>
    </w:p>
    <w:p w14:paraId="448187A5" w14:textId="77777777" w:rsidR="00AD6608" w:rsidRPr="00614EF9" w:rsidRDefault="006150B4" w:rsidP="008623B5">
      <w:pPr>
        <w:pStyle w:val="Paragraphedeliste"/>
        <w:numPr>
          <w:ilvl w:val="0"/>
          <w:numId w:val="15"/>
        </w:numPr>
        <w:spacing w:before="60" w:after="60"/>
        <w:ind w:left="714" w:hanging="357"/>
        <w:jc w:val="both"/>
        <w:rPr>
          <w:rFonts w:ascii="Century Gothic" w:hAnsi="Century Gothic"/>
          <w:sz w:val="24"/>
          <w:szCs w:val="24"/>
          <w:lang w:val="fr-FR"/>
        </w:rPr>
      </w:pPr>
      <w:r w:rsidRPr="00614EF9">
        <w:rPr>
          <w:rFonts w:ascii="Century Gothic" w:hAnsi="Century Gothic"/>
          <w:sz w:val="24"/>
          <w:szCs w:val="24"/>
          <w:lang w:val="fr-FR"/>
        </w:rPr>
        <w:t>L’inscription d’une revue de maturité à mi-parcours, en 2028. Elle porte sur la disponibilité industrielle des équipements, l’état d’avancement du financement et la levée des prérequis. Elle peut conduire à ajuster les échéances des volets non encore engagés.</w:t>
      </w:r>
    </w:p>
    <w:p w14:paraId="383D90FF" w14:textId="77777777" w:rsidR="00857484" w:rsidRPr="00614EF9" w:rsidRDefault="009514E2" w:rsidP="006150B4">
      <w:pPr>
        <w:pStyle w:val="Titre2"/>
        <w:rPr>
          <w:lang w:val="fr-FR"/>
        </w:rPr>
      </w:pPr>
      <w:bookmarkStart w:id="242" w:name="_Ref240508386"/>
      <w:bookmarkStart w:id="243" w:name="_Ref240508657"/>
      <w:bookmarkStart w:id="244" w:name="_Toc240614447"/>
      <w:r w:rsidRPr="00614EF9">
        <w:rPr>
          <w:lang w:val="fr-FR"/>
        </w:rPr>
        <w:t>Trajectoire préparatoire du volet 600 MHz</w:t>
      </w:r>
      <w:bookmarkEnd w:id="242"/>
      <w:bookmarkEnd w:id="243"/>
      <w:bookmarkEnd w:id="244"/>
    </w:p>
    <w:p w14:paraId="2CF04820" w14:textId="77777777" w:rsidR="00A17D2A" w:rsidRPr="00614EF9" w:rsidRDefault="009514E2" w:rsidP="00857484">
      <w:pPr>
        <w:spacing w:before="60"/>
        <w:rPr>
          <w:lang w:val="fr-FR"/>
        </w:rPr>
      </w:pPr>
      <w:r w:rsidRPr="00614EF9">
        <w:rPr>
          <w:lang w:val="fr-FR"/>
        </w:rPr>
        <w:t>La bande 614–694 MHz n'étant pas allouée au service mobile pour le Niger, sa libération n'est pas programmée sur la période du plan</w:t>
      </w:r>
      <w:r w:rsidR="00A17D2A" w:rsidRPr="00614EF9">
        <w:rPr>
          <w:lang w:val="fr-FR"/>
        </w:rPr>
        <w:t xml:space="preserve"> de transition</w:t>
      </w:r>
      <w:r w:rsidRPr="00614EF9">
        <w:rPr>
          <w:lang w:val="fr-FR"/>
        </w:rPr>
        <w:t xml:space="preserve">. </w:t>
      </w:r>
    </w:p>
    <w:p w14:paraId="190BC407" w14:textId="77777777" w:rsidR="00A17D2A" w:rsidRPr="00614EF9" w:rsidRDefault="00A17D2A" w:rsidP="00857484">
      <w:pPr>
        <w:spacing w:before="60"/>
        <w:rPr>
          <w:szCs w:val="24"/>
          <w:lang w:val="fr-FR"/>
        </w:rPr>
      </w:pPr>
      <w:r w:rsidRPr="00614EF9">
        <w:rPr>
          <w:szCs w:val="24"/>
          <w:lang w:val="fr-FR"/>
        </w:rPr>
        <w:t xml:space="preserve">Ce volet est converti en une trajectoire préparatoire comportant : </w:t>
      </w:r>
    </w:p>
    <w:p w14:paraId="736BF032" w14:textId="77777777" w:rsidR="00A17D2A" w:rsidRPr="00614EF9" w:rsidRDefault="00A17D2A" w:rsidP="00A17D2A">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L’élaboration d’une contribution pour la Conférence mondiale des radiocommunications de 2027, en vue soit d’inscrire l’administration du Niger à la note de renvoi, soit d’inscrire ce point à l’ordre du jour de la Conférence mondiale des radiocommunications de 2031, en concertation avec les administrations de la sous-région ;</w:t>
      </w:r>
    </w:p>
    <w:p w14:paraId="0EEA9C16" w14:textId="77777777" w:rsidR="00A17D2A" w:rsidRPr="00614EF9" w:rsidRDefault="009514E2" w:rsidP="00A17D2A">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L’arrêt de la limite basse de la bande et du sort du canal 38 ;</w:t>
      </w:r>
    </w:p>
    <w:p w14:paraId="5972BD73" w14:textId="77777777" w:rsidR="003A2650" w:rsidRPr="00614EF9" w:rsidRDefault="00A17D2A" w:rsidP="00A17D2A">
      <w:pPr>
        <w:pStyle w:val="Paragraphedeliste"/>
        <w:numPr>
          <w:ilvl w:val="0"/>
          <w:numId w:val="15"/>
        </w:numPr>
        <w:spacing w:before="60"/>
        <w:jc w:val="both"/>
        <w:rPr>
          <w:rFonts w:ascii="Century Gothic" w:hAnsi="Century Gothic"/>
          <w:sz w:val="24"/>
          <w:szCs w:val="24"/>
          <w:lang w:val="fr-FR"/>
        </w:rPr>
      </w:pPr>
      <w:r w:rsidRPr="00614EF9">
        <w:rPr>
          <w:rFonts w:ascii="Century Gothic" w:hAnsi="Century Gothic"/>
          <w:sz w:val="24"/>
          <w:szCs w:val="24"/>
          <w:lang w:val="fr-FR"/>
        </w:rPr>
        <w:t>La révision du plan GE06.</w:t>
      </w:r>
    </w:p>
    <w:p w14:paraId="21DACD3B" w14:textId="77777777" w:rsidR="007C757E" w:rsidRPr="00614EF9" w:rsidRDefault="009514E2" w:rsidP="007D4BE4">
      <w:pPr>
        <w:pStyle w:val="Titre2"/>
        <w:rPr>
          <w:lang w:val="fr-FR"/>
        </w:rPr>
      </w:pPr>
      <w:bookmarkStart w:id="245" w:name="_Toc232062318"/>
      <w:bookmarkStart w:id="246" w:name="_Toc236636395"/>
      <w:bookmarkStart w:id="247" w:name="_Toc240614448"/>
      <w:r w:rsidRPr="00614EF9">
        <w:rPr>
          <w:lang w:val="fr-FR"/>
        </w:rPr>
        <w:t>Chronogramme</w:t>
      </w:r>
      <w:bookmarkEnd w:id="245"/>
      <w:bookmarkEnd w:id="246"/>
      <w:bookmarkEnd w:id="247"/>
    </w:p>
    <w:p w14:paraId="62000BDA" w14:textId="524C1E45" w:rsidR="003A2650" w:rsidRPr="00614EF9" w:rsidRDefault="009514E2">
      <w:pPr>
        <w:spacing w:before="60"/>
        <w:rPr>
          <w:lang w:val="fr-FR"/>
        </w:rPr>
      </w:pPr>
      <w:r w:rsidRPr="00614EF9">
        <w:rPr>
          <w:lang w:val="fr-FR"/>
        </w:rPr>
        <w:t xml:space="preserve">Le </w:t>
      </w:r>
      <w:r w:rsidR="00374048" w:rsidRPr="00614EF9">
        <w:rPr>
          <w:lang w:val="fr-FR"/>
        </w:rPr>
        <w:fldChar w:fldCharType="begin"/>
      </w:r>
      <w:r w:rsidR="00374048" w:rsidRPr="00614EF9">
        <w:rPr>
          <w:lang w:val="fr-FR"/>
        </w:rPr>
        <w:instrText xml:space="preserve"> REF _Ref240465988 \h </w:instrText>
      </w:r>
      <w:r w:rsidR="008D0439" w:rsidRPr="00614EF9">
        <w:rPr>
          <w:lang w:val="fr-FR"/>
        </w:rPr>
        <w:instrText xml:space="preserve"> \* MERGEFORMAT </w:instrText>
      </w:r>
      <w:r w:rsidR="00374048" w:rsidRPr="00614EF9">
        <w:rPr>
          <w:lang w:val="fr-FR"/>
        </w:rPr>
      </w:r>
      <w:r w:rsidR="00374048" w:rsidRPr="00614EF9">
        <w:rPr>
          <w:lang w:val="fr-FR"/>
        </w:rPr>
        <w:fldChar w:fldCharType="separate"/>
      </w:r>
      <w:r w:rsidR="007A7843" w:rsidRPr="00614EF9">
        <w:rPr>
          <w:color w:val="000000" w:themeColor="text1"/>
          <w:lang w:val="fr-FR"/>
        </w:rPr>
        <w:t xml:space="preserve">Tableau </w:t>
      </w:r>
      <w:r w:rsidR="007A7843" w:rsidRPr="00614EF9">
        <w:rPr>
          <w:noProof/>
          <w:color w:val="000000" w:themeColor="text1"/>
          <w:lang w:val="fr-FR"/>
        </w:rPr>
        <w:t>22</w:t>
      </w:r>
      <w:r w:rsidR="00374048" w:rsidRPr="00614EF9">
        <w:rPr>
          <w:lang w:val="fr-FR"/>
        </w:rPr>
        <w:fldChar w:fldCharType="end"/>
      </w:r>
      <w:r w:rsidR="008623B5" w:rsidRPr="00614EF9">
        <w:rPr>
          <w:lang w:val="fr-FR"/>
        </w:rPr>
        <w:t xml:space="preserve"> ci-dessous donne le chronogramme prévisionnel des opérations. Il sera actualisé régulièrement, pour tenir compte des aléas et des délais effectifs de coordination internationale.</w:t>
      </w:r>
    </w:p>
    <w:tbl>
      <w:tblPr>
        <w:tblStyle w:val="TableauGrille4-Accentuation3"/>
        <w:tblW w:w="9638" w:type="dxa"/>
        <w:jc w:val="center"/>
        <w:tblLayout w:type="fixed"/>
        <w:tblLook w:val="04A0" w:firstRow="1" w:lastRow="0" w:firstColumn="1" w:lastColumn="0" w:noHBand="0" w:noVBand="1"/>
      </w:tblPr>
      <w:tblGrid>
        <w:gridCol w:w="4838"/>
        <w:gridCol w:w="1200"/>
        <w:gridCol w:w="1200"/>
        <w:gridCol w:w="1200"/>
        <w:gridCol w:w="1200"/>
      </w:tblGrid>
      <w:tr w:rsidR="003A2650" w:rsidRPr="00614EF9" w14:paraId="6BA54A5F"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36D3859C" w14:textId="77777777" w:rsidR="003A2650" w:rsidRPr="00614EF9" w:rsidRDefault="009514E2">
            <w:pPr>
              <w:spacing w:before="20" w:after="20"/>
              <w:rPr>
                <w:lang w:val="fr-FR"/>
              </w:rPr>
            </w:pPr>
            <w:r w:rsidRPr="00614EF9">
              <w:rPr>
                <w:color w:val="FFFFFF"/>
                <w:sz w:val="18"/>
                <w:szCs w:val="18"/>
                <w:lang w:val="fr-FR"/>
              </w:rPr>
              <w:t>Opération</w:t>
            </w:r>
          </w:p>
        </w:tc>
        <w:tc>
          <w:tcPr>
            <w:tcW w:w="1200" w:type="dxa"/>
            <w:tcMar>
              <w:top w:w="40" w:type="dxa"/>
              <w:bottom w:w="40" w:type="dxa"/>
            </w:tcMar>
          </w:tcPr>
          <w:p w14:paraId="6BB97C39"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2026</w:t>
            </w:r>
          </w:p>
        </w:tc>
        <w:tc>
          <w:tcPr>
            <w:tcW w:w="1200" w:type="dxa"/>
            <w:tcMar>
              <w:top w:w="40" w:type="dxa"/>
              <w:bottom w:w="40" w:type="dxa"/>
            </w:tcMar>
          </w:tcPr>
          <w:p w14:paraId="45DF8CA5"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2027</w:t>
            </w:r>
          </w:p>
        </w:tc>
        <w:tc>
          <w:tcPr>
            <w:tcW w:w="1200" w:type="dxa"/>
            <w:tcMar>
              <w:top w:w="40" w:type="dxa"/>
              <w:bottom w:w="40" w:type="dxa"/>
            </w:tcMar>
          </w:tcPr>
          <w:p w14:paraId="2C236C09"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2028</w:t>
            </w:r>
          </w:p>
        </w:tc>
        <w:tc>
          <w:tcPr>
            <w:tcW w:w="1200" w:type="dxa"/>
            <w:tcMar>
              <w:top w:w="40" w:type="dxa"/>
              <w:bottom w:w="40" w:type="dxa"/>
            </w:tcMar>
          </w:tcPr>
          <w:p w14:paraId="65F463CB" w14:textId="77777777" w:rsidR="003A2650"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2029</w:t>
            </w:r>
          </w:p>
        </w:tc>
      </w:tr>
      <w:tr w:rsidR="009A1C77" w:rsidRPr="00614EF9" w14:paraId="6907EF50"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3F23005E" w14:textId="77777777" w:rsidR="009A1C77" w:rsidRPr="00614EF9" w:rsidRDefault="009A1C77" w:rsidP="009A1C77">
            <w:pPr>
              <w:spacing w:before="20" w:after="20"/>
              <w:rPr>
                <w:b w:val="0"/>
                <w:bCs w:val="0"/>
                <w:lang w:val="fr-FR"/>
              </w:rPr>
            </w:pPr>
            <w:r w:rsidRPr="00614EF9">
              <w:rPr>
                <w:b w:val="0"/>
                <w:bCs w:val="0"/>
                <w:sz w:val="18"/>
                <w:szCs w:val="18"/>
                <w:lang w:val="fr-FR"/>
              </w:rPr>
              <w:t>Adoption du plan de transition</w:t>
            </w:r>
          </w:p>
        </w:tc>
        <w:tc>
          <w:tcPr>
            <w:tcW w:w="1200" w:type="dxa"/>
            <w:tcMar>
              <w:top w:w="40" w:type="dxa"/>
              <w:bottom w:w="40" w:type="dxa"/>
            </w:tcMar>
          </w:tcPr>
          <w:p w14:paraId="3CD1F888" w14:textId="7F0BBB64"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T4</w:t>
            </w:r>
            <w:r w:rsidR="008D0439" w:rsidRPr="00614EF9">
              <w:rPr>
                <w:sz w:val="18"/>
                <w:szCs w:val="18"/>
                <w:lang w:val="fr-FR"/>
              </w:rPr>
              <w:fldChar w:fldCharType="begin"/>
            </w:r>
            <w:r w:rsidR="008D0439" w:rsidRPr="00614EF9">
              <w:instrText xml:space="preserve"> XE "</w:instrText>
            </w:r>
            <w:r w:rsidR="008D0439" w:rsidRPr="00614EF9">
              <w:rPr>
                <w:sz w:val="18"/>
                <w:szCs w:val="18"/>
                <w:lang w:val="fr-FR"/>
              </w:rPr>
              <w:instrText>T</w:instrText>
            </w:r>
            <w:proofErr w:type="gramStart"/>
            <w:r w:rsidR="008D0439" w:rsidRPr="00614EF9">
              <w:rPr>
                <w:sz w:val="18"/>
                <w:szCs w:val="18"/>
                <w:lang w:val="fr-FR"/>
              </w:rPr>
              <w:instrText>4:</w:instrText>
            </w:r>
            <w:proofErr w:type="gramEnd"/>
            <w:r w:rsidR="008D0439" w:rsidRPr="00614EF9">
              <w:instrText xml:space="preserve">4ème trimestre" </w:instrText>
            </w:r>
            <w:r w:rsidR="008D0439" w:rsidRPr="00614EF9">
              <w:rPr>
                <w:sz w:val="18"/>
                <w:szCs w:val="18"/>
                <w:lang w:val="fr-FR"/>
              </w:rPr>
              <w:fldChar w:fldCharType="end"/>
            </w:r>
          </w:p>
        </w:tc>
        <w:tc>
          <w:tcPr>
            <w:tcW w:w="1200" w:type="dxa"/>
            <w:tcMar>
              <w:top w:w="40" w:type="dxa"/>
              <w:bottom w:w="40" w:type="dxa"/>
            </w:tcMar>
          </w:tcPr>
          <w:p w14:paraId="5E383FD6" w14:textId="7D7C015D"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2EF5EB0E" w14:textId="0617F616"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2B474AA9" w14:textId="076DDA8C"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66EDD382"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7074B98F" w14:textId="77777777" w:rsidR="009A1C77" w:rsidRPr="00614EF9" w:rsidRDefault="009A1C77" w:rsidP="009A1C77">
            <w:pPr>
              <w:spacing w:before="20" w:after="20"/>
              <w:rPr>
                <w:b w:val="0"/>
                <w:bCs w:val="0"/>
                <w:lang w:val="fr-FR"/>
              </w:rPr>
            </w:pPr>
            <w:r w:rsidRPr="00614EF9">
              <w:rPr>
                <w:b w:val="0"/>
                <w:bCs w:val="0"/>
                <w:sz w:val="18"/>
                <w:szCs w:val="18"/>
                <w:lang w:val="fr-FR"/>
              </w:rPr>
              <w:t>Installation du comité de pilotage et des groupes de travail</w:t>
            </w:r>
          </w:p>
        </w:tc>
        <w:tc>
          <w:tcPr>
            <w:tcW w:w="1200" w:type="dxa"/>
            <w:tcMar>
              <w:top w:w="40" w:type="dxa"/>
              <w:bottom w:w="40" w:type="dxa"/>
            </w:tcMar>
          </w:tcPr>
          <w:p w14:paraId="48FF998F"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T4</w:t>
            </w:r>
          </w:p>
        </w:tc>
        <w:tc>
          <w:tcPr>
            <w:tcW w:w="1200" w:type="dxa"/>
            <w:tcMar>
              <w:top w:w="40" w:type="dxa"/>
              <w:bottom w:w="40" w:type="dxa"/>
            </w:tcMar>
          </w:tcPr>
          <w:p w14:paraId="10B2F179" w14:textId="44A96201"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3BE65F5C" w14:textId="51B84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0FE5334D" w14:textId="0993097B"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r>
      <w:tr w:rsidR="009A1C77" w:rsidRPr="00614EF9" w14:paraId="3FB28686"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4CD80774" w14:textId="77777777" w:rsidR="009A1C77" w:rsidRPr="00614EF9" w:rsidRDefault="009A1C77" w:rsidP="009A1C77">
            <w:pPr>
              <w:spacing w:before="20" w:after="20"/>
              <w:rPr>
                <w:b w:val="0"/>
                <w:bCs w:val="0"/>
                <w:lang w:val="fr-FR"/>
              </w:rPr>
            </w:pPr>
            <w:r w:rsidRPr="00614EF9">
              <w:rPr>
                <w:b w:val="0"/>
                <w:bCs w:val="0"/>
                <w:sz w:val="18"/>
                <w:szCs w:val="18"/>
                <w:lang w:val="fr-FR"/>
              </w:rPr>
              <w:lastRenderedPageBreak/>
              <w:t>Notification aux assignataires des volets 700 MHz, 3,5 GHz et FWA</w:t>
            </w:r>
          </w:p>
        </w:tc>
        <w:tc>
          <w:tcPr>
            <w:tcW w:w="1200" w:type="dxa"/>
            <w:tcMar>
              <w:top w:w="40" w:type="dxa"/>
              <w:bottom w:w="40" w:type="dxa"/>
            </w:tcMar>
          </w:tcPr>
          <w:p w14:paraId="16A2D631"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T4</w:t>
            </w:r>
          </w:p>
        </w:tc>
        <w:tc>
          <w:tcPr>
            <w:tcW w:w="1200" w:type="dxa"/>
            <w:tcMar>
              <w:top w:w="40" w:type="dxa"/>
              <w:bottom w:w="40" w:type="dxa"/>
            </w:tcMar>
          </w:tcPr>
          <w:p w14:paraId="7FFFE299" w14:textId="6FC9BE35"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16A50EC1" w14:textId="33DF23FA"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5533CFAA" w14:textId="5DE9FD0A"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5006BD08"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3EDF8D62" w14:textId="77777777" w:rsidR="009A1C77" w:rsidRPr="00614EF9" w:rsidRDefault="009A1C77" w:rsidP="009A1C77">
            <w:pPr>
              <w:spacing w:before="20" w:after="20"/>
              <w:rPr>
                <w:b w:val="0"/>
                <w:bCs w:val="0"/>
                <w:lang w:val="fr-FR"/>
              </w:rPr>
            </w:pPr>
            <w:r w:rsidRPr="00614EF9">
              <w:rPr>
                <w:b w:val="0"/>
                <w:bCs w:val="0"/>
                <w:sz w:val="18"/>
                <w:szCs w:val="18"/>
                <w:lang w:val="fr-FR"/>
              </w:rPr>
              <w:t>Fiches de migration et validation des bandes de repli</w:t>
            </w:r>
          </w:p>
        </w:tc>
        <w:tc>
          <w:tcPr>
            <w:tcW w:w="1200" w:type="dxa"/>
            <w:tcMar>
              <w:top w:w="40" w:type="dxa"/>
              <w:bottom w:w="40" w:type="dxa"/>
            </w:tcMar>
          </w:tcPr>
          <w:p w14:paraId="213FC61D" w14:textId="49E2F7CF"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26A01463" w14:textId="783493A6"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T1</w:t>
            </w:r>
            <w:r w:rsidR="008D0439" w:rsidRPr="00614EF9">
              <w:rPr>
                <w:sz w:val="18"/>
                <w:szCs w:val="18"/>
                <w:lang w:val="fr-FR"/>
              </w:rPr>
              <w:fldChar w:fldCharType="begin"/>
            </w:r>
            <w:r w:rsidR="008D0439" w:rsidRPr="00614EF9">
              <w:instrText xml:space="preserve"> XE "</w:instrText>
            </w:r>
            <w:r w:rsidR="008D0439" w:rsidRPr="00614EF9">
              <w:rPr>
                <w:sz w:val="18"/>
                <w:szCs w:val="18"/>
                <w:lang w:val="fr-FR"/>
              </w:rPr>
              <w:instrText>T</w:instrText>
            </w:r>
            <w:proofErr w:type="gramStart"/>
            <w:r w:rsidR="008D0439" w:rsidRPr="00614EF9">
              <w:rPr>
                <w:sz w:val="18"/>
                <w:szCs w:val="18"/>
                <w:lang w:val="fr-FR"/>
              </w:rPr>
              <w:instrText>1:</w:instrText>
            </w:r>
            <w:r w:rsidR="008D0439" w:rsidRPr="00614EF9">
              <w:instrText>Premier</w:instrText>
            </w:r>
            <w:proofErr w:type="gramEnd"/>
            <w:r w:rsidR="008D0439" w:rsidRPr="00614EF9">
              <w:instrText xml:space="preserve"> trimestre" </w:instrText>
            </w:r>
            <w:r w:rsidR="008D0439" w:rsidRPr="00614EF9">
              <w:rPr>
                <w:sz w:val="18"/>
                <w:szCs w:val="18"/>
                <w:lang w:val="fr-FR"/>
              </w:rPr>
              <w:fldChar w:fldCharType="end"/>
            </w:r>
            <w:r w:rsidRPr="00614EF9">
              <w:rPr>
                <w:sz w:val="18"/>
                <w:szCs w:val="18"/>
                <w:lang w:val="fr-FR"/>
              </w:rPr>
              <w:t>-T2</w:t>
            </w:r>
            <w:r w:rsidR="008D0439" w:rsidRPr="00614EF9">
              <w:rPr>
                <w:sz w:val="18"/>
                <w:szCs w:val="18"/>
                <w:lang w:val="fr-FR"/>
              </w:rPr>
              <w:fldChar w:fldCharType="begin"/>
            </w:r>
            <w:r w:rsidR="008D0439" w:rsidRPr="00614EF9">
              <w:instrText xml:space="preserve"> XE "</w:instrText>
            </w:r>
            <w:r w:rsidR="008D0439" w:rsidRPr="00614EF9">
              <w:rPr>
                <w:sz w:val="18"/>
                <w:szCs w:val="18"/>
                <w:lang w:val="fr-FR"/>
              </w:rPr>
              <w:instrText>T</w:instrText>
            </w:r>
            <w:proofErr w:type="gramStart"/>
            <w:r w:rsidR="008D0439" w:rsidRPr="00614EF9">
              <w:rPr>
                <w:sz w:val="18"/>
                <w:szCs w:val="18"/>
                <w:lang w:val="fr-FR"/>
              </w:rPr>
              <w:instrText>2:</w:instrText>
            </w:r>
            <w:proofErr w:type="gramEnd"/>
            <w:r w:rsidR="008D0439" w:rsidRPr="00614EF9">
              <w:instrText xml:space="preserve">2ème trimestre" </w:instrText>
            </w:r>
            <w:r w:rsidR="008D0439" w:rsidRPr="00614EF9">
              <w:rPr>
                <w:sz w:val="18"/>
                <w:szCs w:val="18"/>
                <w:lang w:val="fr-FR"/>
              </w:rPr>
              <w:fldChar w:fldCharType="end"/>
            </w:r>
          </w:p>
        </w:tc>
        <w:tc>
          <w:tcPr>
            <w:tcW w:w="1200" w:type="dxa"/>
            <w:tcMar>
              <w:top w:w="40" w:type="dxa"/>
              <w:bottom w:w="40" w:type="dxa"/>
            </w:tcMar>
          </w:tcPr>
          <w:p w14:paraId="663AE93D" w14:textId="4F71DC8E"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7D12A9BD" w14:textId="1960959C"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r>
      <w:tr w:rsidR="009A1C77" w:rsidRPr="00614EF9" w14:paraId="4047577C"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2D8EC209" w14:textId="77777777" w:rsidR="009A1C77" w:rsidRPr="00614EF9" w:rsidRDefault="009A1C77" w:rsidP="009A1C77">
            <w:pPr>
              <w:spacing w:before="20" w:after="20"/>
              <w:rPr>
                <w:b w:val="0"/>
                <w:bCs w:val="0"/>
                <w:lang w:val="fr-FR"/>
              </w:rPr>
            </w:pPr>
            <w:r w:rsidRPr="00614EF9">
              <w:rPr>
                <w:b w:val="0"/>
                <w:bCs w:val="0"/>
                <w:sz w:val="18"/>
                <w:szCs w:val="18"/>
                <w:lang w:val="fr-FR"/>
              </w:rPr>
              <w:t>Mise en place du financement et consignation des contributions</w:t>
            </w:r>
          </w:p>
        </w:tc>
        <w:tc>
          <w:tcPr>
            <w:tcW w:w="1200" w:type="dxa"/>
            <w:tcMar>
              <w:top w:w="40" w:type="dxa"/>
              <w:bottom w:w="40" w:type="dxa"/>
            </w:tcMar>
          </w:tcPr>
          <w:p w14:paraId="58B69CD9" w14:textId="30573F7A"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70AC18E8"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T1-T2</w:t>
            </w:r>
          </w:p>
        </w:tc>
        <w:tc>
          <w:tcPr>
            <w:tcW w:w="1200" w:type="dxa"/>
            <w:tcMar>
              <w:top w:w="40" w:type="dxa"/>
              <w:bottom w:w="40" w:type="dxa"/>
            </w:tcMar>
          </w:tcPr>
          <w:p w14:paraId="15446196" w14:textId="0FADD64F"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7B608125" w14:textId="1DA3BBA6"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37FB6CFD"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0BF4113B" w14:textId="77777777" w:rsidR="009A1C77" w:rsidRPr="00614EF9" w:rsidRDefault="009A1C77" w:rsidP="009A1C77">
            <w:pPr>
              <w:spacing w:before="20" w:after="20"/>
              <w:rPr>
                <w:b w:val="0"/>
                <w:bCs w:val="0"/>
                <w:lang w:val="fr-FR"/>
              </w:rPr>
            </w:pPr>
            <w:r w:rsidRPr="00614EF9">
              <w:rPr>
                <w:b w:val="0"/>
                <w:bCs w:val="0"/>
                <w:sz w:val="18"/>
                <w:szCs w:val="18"/>
                <w:lang w:val="fr-FR"/>
              </w:rPr>
              <w:t>Évaluation de l'audience résiduelle de l'analogique</w:t>
            </w:r>
          </w:p>
        </w:tc>
        <w:tc>
          <w:tcPr>
            <w:tcW w:w="1200" w:type="dxa"/>
            <w:tcMar>
              <w:top w:w="40" w:type="dxa"/>
              <w:bottom w:w="40" w:type="dxa"/>
            </w:tcMar>
          </w:tcPr>
          <w:p w14:paraId="2D45CE77" w14:textId="70302D11"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6A0E7063"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T1-T2</w:t>
            </w:r>
          </w:p>
        </w:tc>
        <w:tc>
          <w:tcPr>
            <w:tcW w:w="1200" w:type="dxa"/>
            <w:tcMar>
              <w:top w:w="40" w:type="dxa"/>
              <w:bottom w:w="40" w:type="dxa"/>
            </w:tcMar>
          </w:tcPr>
          <w:p w14:paraId="46FA78E8" w14:textId="66E0C46F"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11FD2830" w14:textId="3A1A237B"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r>
      <w:tr w:rsidR="009A1C77" w:rsidRPr="00614EF9" w14:paraId="74858B40"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4390FE8D" w14:textId="77777777" w:rsidR="009A1C77" w:rsidRPr="00614EF9" w:rsidRDefault="009A1C77" w:rsidP="009A1C77">
            <w:pPr>
              <w:spacing w:before="20" w:after="20"/>
              <w:rPr>
                <w:b w:val="0"/>
                <w:bCs w:val="0"/>
                <w:lang w:val="fr-FR"/>
              </w:rPr>
            </w:pPr>
            <w:r w:rsidRPr="00614EF9">
              <w:rPr>
                <w:b w:val="0"/>
                <w:bCs w:val="0"/>
                <w:sz w:val="18"/>
                <w:szCs w:val="18"/>
                <w:lang w:val="fr-FR"/>
              </w:rPr>
              <w:t>Campagne conjointe de mesures d'intermodulation</w:t>
            </w:r>
          </w:p>
        </w:tc>
        <w:tc>
          <w:tcPr>
            <w:tcW w:w="1200" w:type="dxa"/>
            <w:tcMar>
              <w:top w:w="40" w:type="dxa"/>
              <w:bottom w:w="40" w:type="dxa"/>
            </w:tcMar>
          </w:tcPr>
          <w:p w14:paraId="2C823C7E" w14:textId="796482AC"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1B577C60"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T2</w:t>
            </w:r>
          </w:p>
        </w:tc>
        <w:tc>
          <w:tcPr>
            <w:tcW w:w="1200" w:type="dxa"/>
            <w:tcMar>
              <w:top w:w="40" w:type="dxa"/>
              <w:bottom w:w="40" w:type="dxa"/>
            </w:tcMar>
          </w:tcPr>
          <w:p w14:paraId="064B371C" w14:textId="4A19B903"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0E8DE48C" w14:textId="1FD59D03"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02B6CC66"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423BFF86" w14:textId="77777777" w:rsidR="009A1C77" w:rsidRPr="00614EF9" w:rsidRDefault="009A1C77" w:rsidP="009A1C77">
            <w:pPr>
              <w:spacing w:before="20" w:after="20"/>
              <w:rPr>
                <w:b w:val="0"/>
                <w:bCs w:val="0"/>
                <w:lang w:val="fr-FR"/>
              </w:rPr>
            </w:pPr>
            <w:r w:rsidRPr="00614EF9">
              <w:rPr>
                <w:b w:val="0"/>
                <w:bCs w:val="0"/>
                <w:sz w:val="18"/>
                <w:szCs w:val="18"/>
                <w:lang w:val="fr-FR"/>
              </w:rPr>
              <w:t>Mesures de continuité dans les quatre localités concernées</w:t>
            </w:r>
          </w:p>
        </w:tc>
        <w:tc>
          <w:tcPr>
            <w:tcW w:w="1200" w:type="dxa"/>
            <w:tcMar>
              <w:top w:w="40" w:type="dxa"/>
              <w:bottom w:w="40" w:type="dxa"/>
            </w:tcMar>
          </w:tcPr>
          <w:p w14:paraId="12C69977" w14:textId="38468DEA"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67FA1F47" w14:textId="1F8D004F"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T3</w:t>
            </w:r>
            <w:r w:rsidR="008D0439" w:rsidRPr="00614EF9">
              <w:rPr>
                <w:sz w:val="18"/>
                <w:szCs w:val="18"/>
                <w:lang w:val="fr-FR"/>
              </w:rPr>
              <w:fldChar w:fldCharType="begin"/>
            </w:r>
            <w:r w:rsidR="008D0439" w:rsidRPr="00614EF9">
              <w:instrText xml:space="preserve"> XE "</w:instrText>
            </w:r>
            <w:r w:rsidR="008D0439" w:rsidRPr="00614EF9">
              <w:rPr>
                <w:sz w:val="18"/>
                <w:szCs w:val="18"/>
                <w:lang w:val="fr-FR"/>
              </w:rPr>
              <w:instrText>T</w:instrText>
            </w:r>
            <w:proofErr w:type="gramStart"/>
            <w:r w:rsidR="008D0439" w:rsidRPr="00614EF9">
              <w:rPr>
                <w:sz w:val="18"/>
                <w:szCs w:val="18"/>
                <w:lang w:val="fr-FR"/>
              </w:rPr>
              <w:instrText>3:</w:instrText>
            </w:r>
            <w:proofErr w:type="gramEnd"/>
            <w:r w:rsidR="008D0439" w:rsidRPr="00614EF9">
              <w:instrText xml:space="preserve">3ème trimestre" </w:instrText>
            </w:r>
            <w:r w:rsidR="008D0439" w:rsidRPr="00614EF9">
              <w:rPr>
                <w:sz w:val="18"/>
                <w:szCs w:val="18"/>
                <w:lang w:val="fr-FR"/>
              </w:rPr>
              <w:fldChar w:fldCharType="end"/>
            </w:r>
            <w:r w:rsidRPr="00614EF9">
              <w:rPr>
                <w:sz w:val="18"/>
                <w:szCs w:val="18"/>
                <w:lang w:val="fr-FR"/>
              </w:rPr>
              <w:t>-T4</w:t>
            </w:r>
          </w:p>
        </w:tc>
        <w:tc>
          <w:tcPr>
            <w:tcW w:w="1200" w:type="dxa"/>
            <w:tcMar>
              <w:top w:w="40" w:type="dxa"/>
              <w:bottom w:w="40" w:type="dxa"/>
            </w:tcMar>
          </w:tcPr>
          <w:p w14:paraId="018ED7B7"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T1-T2</w:t>
            </w:r>
          </w:p>
        </w:tc>
        <w:tc>
          <w:tcPr>
            <w:tcW w:w="1200" w:type="dxa"/>
            <w:tcMar>
              <w:top w:w="40" w:type="dxa"/>
              <w:bottom w:w="40" w:type="dxa"/>
            </w:tcMar>
          </w:tcPr>
          <w:p w14:paraId="5FF630B0" w14:textId="70FB989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r>
      <w:tr w:rsidR="009A1C77" w:rsidRPr="00614EF9" w14:paraId="7B133EF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39CC18AE" w14:textId="77777777" w:rsidR="009A1C77" w:rsidRPr="00614EF9" w:rsidRDefault="009A1C77" w:rsidP="009A1C77">
            <w:pPr>
              <w:spacing w:before="20" w:after="20"/>
              <w:rPr>
                <w:b w:val="0"/>
                <w:bCs w:val="0"/>
                <w:lang w:val="fr-FR"/>
              </w:rPr>
            </w:pPr>
            <w:r w:rsidRPr="00614EF9">
              <w:rPr>
                <w:b w:val="0"/>
                <w:bCs w:val="0"/>
                <w:sz w:val="18"/>
                <w:szCs w:val="18"/>
                <w:lang w:val="fr-FR"/>
              </w:rPr>
              <w:t>Volet 700 MHz — extinction analogique et libération</w:t>
            </w:r>
          </w:p>
        </w:tc>
        <w:tc>
          <w:tcPr>
            <w:tcW w:w="1200" w:type="dxa"/>
            <w:tcMar>
              <w:top w:w="40" w:type="dxa"/>
              <w:bottom w:w="40" w:type="dxa"/>
            </w:tcMar>
          </w:tcPr>
          <w:p w14:paraId="65DBAAD2" w14:textId="0E98C6FC"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37352271" w14:textId="6D47B78E"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0C770EF6"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T2-T3</w:t>
            </w:r>
          </w:p>
        </w:tc>
        <w:tc>
          <w:tcPr>
            <w:tcW w:w="1200" w:type="dxa"/>
            <w:tcMar>
              <w:top w:w="40" w:type="dxa"/>
              <w:bottom w:w="40" w:type="dxa"/>
            </w:tcMar>
          </w:tcPr>
          <w:p w14:paraId="4E85B8E6" w14:textId="1D2A774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37254F98"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2C63B41E" w14:textId="77777777" w:rsidR="009A1C77" w:rsidRPr="00614EF9" w:rsidRDefault="009A1C77" w:rsidP="009A1C77">
            <w:pPr>
              <w:spacing w:before="20" w:after="20"/>
              <w:rPr>
                <w:b w:val="0"/>
                <w:bCs w:val="0"/>
                <w:lang w:val="fr-FR"/>
              </w:rPr>
            </w:pPr>
            <w:r w:rsidRPr="00614EF9">
              <w:rPr>
                <w:b w:val="0"/>
                <w:bCs w:val="0"/>
                <w:sz w:val="18"/>
                <w:szCs w:val="18"/>
                <w:lang w:val="fr-FR"/>
              </w:rPr>
              <w:t>Volet 3,5 GHz — filtrage régional et report de la collecte de Niamey</w:t>
            </w:r>
          </w:p>
        </w:tc>
        <w:tc>
          <w:tcPr>
            <w:tcW w:w="1200" w:type="dxa"/>
            <w:tcMar>
              <w:top w:w="40" w:type="dxa"/>
              <w:bottom w:w="40" w:type="dxa"/>
            </w:tcMar>
          </w:tcPr>
          <w:p w14:paraId="0801BEB0" w14:textId="750BBEE4"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45FD2CF8"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T3-T4</w:t>
            </w:r>
          </w:p>
        </w:tc>
        <w:tc>
          <w:tcPr>
            <w:tcW w:w="1200" w:type="dxa"/>
            <w:tcMar>
              <w:top w:w="40" w:type="dxa"/>
              <w:bottom w:w="40" w:type="dxa"/>
            </w:tcMar>
          </w:tcPr>
          <w:p w14:paraId="1CB3076E"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T1-T3</w:t>
            </w:r>
          </w:p>
        </w:tc>
        <w:tc>
          <w:tcPr>
            <w:tcW w:w="1200" w:type="dxa"/>
            <w:tcMar>
              <w:top w:w="40" w:type="dxa"/>
              <w:bottom w:w="40" w:type="dxa"/>
            </w:tcMar>
          </w:tcPr>
          <w:p w14:paraId="1B30B891" w14:textId="7599911C"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r>
      <w:tr w:rsidR="009A1C77" w:rsidRPr="00614EF9" w14:paraId="71F02583"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2D6B478C" w14:textId="77777777" w:rsidR="009A1C77" w:rsidRPr="00614EF9" w:rsidRDefault="009A1C77" w:rsidP="009A1C77">
            <w:pPr>
              <w:spacing w:before="20" w:after="20"/>
              <w:rPr>
                <w:b w:val="0"/>
                <w:bCs w:val="0"/>
                <w:lang w:val="fr-FR"/>
              </w:rPr>
            </w:pPr>
            <w:r w:rsidRPr="00614EF9">
              <w:rPr>
                <w:b w:val="0"/>
                <w:bCs w:val="0"/>
                <w:sz w:val="18"/>
                <w:szCs w:val="18"/>
                <w:lang w:val="fr-FR"/>
              </w:rPr>
              <w:t>Volet FWA — ouverture du régime et migration vers 6 GHz</w:t>
            </w:r>
          </w:p>
        </w:tc>
        <w:tc>
          <w:tcPr>
            <w:tcW w:w="1200" w:type="dxa"/>
            <w:tcMar>
              <w:top w:w="40" w:type="dxa"/>
              <w:bottom w:w="40" w:type="dxa"/>
            </w:tcMar>
          </w:tcPr>
          <w:p w14:paraId="07A48AB9" w14:textId="4D700454"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4E6A8BE9"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T4</w:t>
            </w:r>
          </w:p>
        </w:tc>
        <w:tc>
          <w:tcPr>
            <w:tcW w:w="1200" w:type="dxa"/>
            <w:tcMar>
              <w:top w:w="40" w:type="dxa"/>
              <w:bottom w:w="40" w:type="dxa"/>
            </w:tcMar>
          </w:tcPr>
          <w:p w14:paraId="68864607"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T1-T4</w:t>
            </w:r>
          </w:p>
        </w:tc>
        <w:tc>
          <w:tcPr>
            <w:tcW w:w="1200" w:type="dxa"/>
            <w:tcMar>
              <w:top w:w="40" w:type="dxa"/>
              <w:bottom w:w="40" w:type="dxa"/>
            </w:tcMar>
          </w:tcPr>
          <w:p w14:paraId="02397953" w14:textId="62BC7F21"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r>
      <w:tr w:rsidR="009A1C77" w:rsidRPr="00614EF9" w14:paraId="161FC974"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24DC13EC" w14:textId="77777777" w:rsidR="009A1C77" w:rsidRPr="00614EF9" w:rsidRDefault="009A1C77" w:rsidP="009A1C77">
            <w:pPr>
              <w:spacing w:before="20" w:after="20"/>
              <w:rPr>
                <w:b w:val="0"/>
                <w:bCs w:val="0"/>
                <w:lang w:val="fr-FR"/>
              </w:rPr>
            </w:pPr>
            <w:r w:rsidRPr="00614EF9">
              <w:rPr>
                <w:b w:val="0"/>
                <w:bCs w:val="0"/>
                <w:sz w:val="18"/>
                <w:szCs w:val="18"/>
                <w:lang w:val="fr-FR"/>
              </w:rPr>
              <w:t>Constats de libération</w:t>
            </w:r>
          </w:p>
        </w:tc>
        <w:tc>
          <w:tcPr>
            <w:tcW w:w="1200" w:type="dxa"/>
            <w:tcMar>
              <w:top w:w="40" w:type="dxa"/>
              <w:bottom w:w="40" w:type="dxa"/>
            </w:tcMar>
          </w:tcPr>
          <w:p w14:paraId="29F4FC68" w14:textId="391E035B"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3683FA0C" w14:textId="1AD5ADEC"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001C7727"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T3-T4</w:t>
            </w:r>
          </w:p>
        </w:tc>
        <w:tc>
          <w:tcPr>
            <w:tcW w:w="1200" w:type="dxa"/>
            <w:tcMar>
              <w:top w:w="40" w:type="dxa"/>
              <w:bottom w:w="40" w:type="dxa"/>
            </w:tcMar>
          </w:tcPr>
          <w:p w14:paraId="5F13D002"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T1-T2</w:t>
            </w:r>
          </w:p>
        </w:tc>
      </w:tr>
      <w:tr w:rsidR="009A1C77" w:rsidRPr="00614EF9" w14:paraId="73B6015D"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5C801824" w14:textId="77777777" w:rsidR="009A1C77" w:rsidRPr="00614EF9" w:rsidRDefault="009A1C77" w:rsidP="009A1C77">
            <w:pPr>
              <w:spacing w:before="20" w:after="20"/>
              <w:rPr>
                <w:b w:val="0"/>
                <w:bCs w:val="0"/>
                <w:lang w:val="fr-FR"/>
              </w:rPr>
            </w:pPr>
            <w:r w:rsidRPr="00614EF9">
              <w:rPr>
                <w:b w:val="0"/>
                <w:bCs w:val="0"/>
                <w:sz w:val="18"/>
                <w:szCs w:val="18"/>
                <w:lang w:val="fr-FR"/>
              </w:rPr>
              <w:t>Procédures d'attribution des bandes libérées</w:t>
            </w:r>
          </w:p>
        </w:tc>
        <w:tc>
          <w:tcPr>
            <w:tcW w:w="1200" w:type="dxa"/>
            <w:tcMar>
              <w:top w:w="40" w:type="dxa"/>
              <w:bottom w:w="40" w:type="dxa"/>
            </w:tcMar>
          </w:tcPr>
          <w:p w14:paraId="392B1557" w14:textId="1FAA53FB"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44DE7289" w14:textId="046961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24DCD9FF"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T4</w:t>
            </w:r>
          </w:p>
        </w:tc>
        <w:tc>
          <w:tcPr>
            <w:tcW w:w="1200" w:type="dxa"/>
            <w:tcMar>
              <w:top w:w="40" w:type="dxa"/>
              <w:bottom w:w="40" w:type="dxa"/>
            </w:tcMar>
          </w:tcPr>
          <w:p w14:paraId="47A3D883"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T1-T3</w:t>
            </w:r>
          </w:p>
        </w:tc>
      </w:tr>
      <w:tr w:rsidR="009A1C77" w:rsidRPr="00614EF9" w14:paraId="5B9DAA96"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285F3C94" w14:textId="77777777" w:rsidR="009A1C77" w:rsidRPr="00614EF9" w:rsidRDefault="009A1C77" w:rsidP="009A1C77">
            <w:pPr>
              <w:spacing w:before="20" w:after="20"/>
              <w:rPr>
                <w:b w:val="0"/>
                <w:bCs w:val="0"/>
                <w:lang w:val="fr-FR"/>
              </w:rPr>
            </w:pPr>
            <w:r w:rsidRPr="00614EF9">
              <w:rPr>
                <w:b w:val="0"/>
                <w:bCs w:val="0"/>
                <w:sz w:val="18"/>
                <w:szCs w:val="18"/>
                <w:lang w:val="fr-FR"/>
              </w:rPr>
              <w:t>Mise en service et contrôle des obligations</w:t>
            </w:r>
          </w:p>
        </w:tc>
        <w:tc>
          <w:tcPr>
            <w:tcW w:w="1200" w:type="dxa"/>
            <w:tcMar>
              <w:top w:w="40" w:type="dxa"/>
              <w:bottom w:w="40" w:type="dxa"/>
            </w:tcMar>
          </w:tcPr>
          <w:p w14:paraId="68A3D3E7" w14:textId="7DE7B935"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70053276" w14:textId="1EC6CE11"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126DC824" w14:textId="55E4347E"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18A3B684"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T2-T4</w:t>
            </w:r>
          </w:p>
        </w:tc>
      </w:tr>
      <w:tr w:rsidR="009A1C77" w:rsidRPr="00614EF9" w14:paraId="2296476F"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4AA62504" w14:textId="77777777" w:rsidR="009A1C77" w:rsidRPr="00614EF9" w:rsidRDefault="009A1C77" w:rsidP="009A1C77">
            <w:pPr>
              <w:spacing w:before="20" w:after="20"/>
              <w:rPr>
                <w:b w:val="0"/>
                <w:bCs w:val="0"/>
                <w:lang w:val="fr-FR"/>
              </w:rPr>
            </w:pPr>
            <w:r w:rsidRPr="00614EF9">
              <w:rPr>
                <w:b w:val="0"/>
                <w:bCs w:val="0"/>
                <w:sz w:val="18"/>
                <w:szCs w:val="18"/>
                <w:lang w:val="fr-FR"/>
              </w:rPr>
              <w:t>Volet 600 MHz — dossier national en vue de la CMR-31</w:t>
            </w:r>
          </w:p>
        </w:tc>
        <w:tc>
          <w:tcPr>
            <w:tcW w:w="1200" w:type="dxa"/>
            <w:tcMar>
              <w:top w:w="40" w:type="dxa"/>
              <w:bottom w:w="40" w:type="dxa"/>
            </w:tcMar>
          </w:tcPr>
          <w:p w14:paraId="62E6F333" w14:textId="04B734A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510CE92E"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T2-T4</w:t>
            </w:r>
          </w:p>
        </w:tc>
        <w:tc>
          <w:tcPr>
            <w:tcW w:w="1200" w:type="dxa"/>
            <w:tcMar>
              <w:top w:w="40" w:type="dxa"/>
              <w:bottom w:w="40" w:type="dxa"/>
            </w:tcMar>
          </w:tcPr>
          <w:p w14:paraId="775A7B00"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T1-T4</w:t>
            </w:r>
          </w:p>
        </w:tc>
        <w:tc>
          <w:tcPr>
            <w:tcW w:w="1200" w:type="dxa"/>
            <w:tcMar>
              <w:top w:w="40" w:type="dxa"/>
              <w:bottom w:w="40" w:type="dxa"/>
            </w:tcMar>
          </w:tcPr>
          <w:p w14:paraId="652DA16A" w14:textId="77777777" w:rsidR="009A1C77" w:rsidRPr="00614EF9" w:rsidRDefault="009A1C77" w:rsidP="009A1C77">
            <w:pPr>
              <w:spacing w:before="20" w:after="20"/>
              <w:jc w:val="center"/>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T1-T4</w:t>
            </w:r>
          </w:p>
        </w:tc>
      </w:tr>
      <w:tr w:rsidR="009A1C77" w:rsidRPr="00614EF9" w14:paraId="38DD5F2E"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4838" w:type="dxa"/>
            <w:tcMar>
              <w:top w:w="40" w:type="dxa"/>
              <w:bottom w:w="40" w:type="dxa"/>
            </w:tcMar>
          </w:tcPr>
          <w:p w14:paraId="7A3F44B0" w14:textId="77777777" w:rsidR="009A1C77" w:rsidRPr="00614EF9" w:rsidRDefault="009A1C77" w:rsidP="009A1C77">
            <w:pPr>
              <w:spacing w:before="20" w:after="20"/>
              <w:rPr>
                <w:b w:val="0"/>
                <w:bCs w:val="0"/>
                <w:lang w:val="fr-FR"/>
              </w:rPr>
            </w:pPr>
            <w:r w:rsidRPr="00614EF9">
              <w:rPr>
                <w:b w:val="0"/>
                <w:bCs w:val="0"/>
                <w:sz w:val="18"/>
                <w:szCs w:val="18"/>
                <w:lang w:val="fr-FR"/>
              </w:rPr>
              <w:t>Bilan d'exécution et révision du plan</w:t>
            </w:r>
          </w:p>
        </w:tc>
        <w:tc>
          <w:tcPr>
            <w:tcW w:w="1200" w:type="dxa"/>
            <w:tcMar>
              <w:top w:w="40" w:type="dxa"/>
              <w:bottom w:w="40" w:type="dxa"/>
            </w:tcMar>
          </w:tcPr>
          <w:p w14:paraId="683B0C32" w14:textId="5148B281"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3C4FC889" w14:textId="7A7A4C9C"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5BCCF899" w14:textId="041D8244"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w:t>
            </w:r>
          </w:p>
        </w:tc>
        <w:tc>
          <w:tcPr>
            <w:tcW w:w="1200" w:type="dxa"/>
            <w:tcMar>
              <w:top w:w="40" w:type="dxa"/>
              <w:bottom w:w="40" w:type="dxa"/>
            </w:tcMar>
          </w:tcPr>
          <w:p w14:paraId="6169F4B3" w14:textId="77777777" w:rsidR="009A1C77" w:rsidRPr="00614EF9" w:rsidRDefault="009A1C77" w:rsidP="009A1C77">
            <w:pPr>
              <w:spacing w:before="20" w:after="20"/>
              <w:jc w:val="center"/>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T4</w:t>
            </w:r>
          </w:p>
        </w:tc>
      </w:tr>
    </w:tbl>
    <w:p w14:paraId="1F992D9F" w14:textId="77777777" w:rsidR="00374048" w:rsidRPr="00614EF9" w:rsidRDefault="00374048" w:rsidP="00374048">
      <w:pPr>
        <w:pStyle w:val="Lgende"/>
        <w:spacing w:before="120" w:after="120"/>
        <w:rPr>
          <w:color w:val="000000" w:themeColor="text1"/>
          <w:lang w:val="fr-FR"/>
        </w:rPr>
      </w:pPr>
      <w:bookmarkStart w:id="248" w:name="_Ref240465988"/>
      <w:bookmarkStart w:id="249" w:name="_Toc240614536"/>
      <w:bookmarkStart w:id="250" w:name="_Toc232062319"/>
      <w:bookmarkStart w:id="251" w:name="_Toc236636396"/>
      <w:r w:rsidRPr="00614EF9">
        <w:rPr>
          <w:color w:val="000000" w:themeColor="text1"/>
          <w:lang w:val="fr-FR"/>
        </w:rPr>
        <w:t xml:space="preserve">Tableau </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22</w:t>
      </w:r>
      <w:r w:rsidRPr="00614EF9">
        <w:rPr>
          <w:color w:val="000000" w:themeColor="text1"/>
          <w:lang w:val="fr-FR"/>
        </w:rPr>
        <w:fldChar w:fldCharType="end"/>
      </w:r>
      <w:r w:rsidRPr="00614EF9">
        <w:rPr>
          <w:color w:val="000000" w:themeColor="text1"/>
          <w:lang w:val="fr-FR"/>
        </w:rPr>
        <w:t>: Chronogramme de mise en œuvre du plan de transition</w:t>
      </w:r>
      <w:bookmarkEnd w:id="248"/>
      <w:bookmarkEnd w:id="249"/>
    </w:p>
    <w:p w14:paraId="5277F24B" w14:textId="77777777" w:rsidR="00AB602B" w:rsidRPr="00614EF9" w:rsidRDefault="00AB602B" w:rsidP="00AB602B">
      <w:pPr>
        <w:rPr>
          <w:lang w:val="fr-FR"/>
        </w:rPr>
      </w:pPr>
      <w:r w:rsidRPr="00614EF9">
        <w:rPr>
          <w:lang w:val="fr-FR"/>
        </w:rPr>
        <w:br w:type="page"/>
      </w:r>
    </w:p>
    <w:p w14:paraId="5E9716AA" w14:textId="77777777" w:rsidR="007C757E" w:rsidRPr="00614EF9" w:rsidRDefault="009514E2">
      <w:pPr>
        <w:pStyle w:val="Titre1"/>
        <w:rPr>
          <w:lang w:val="fr-FR"/>
        </w:rPr>
      </w:pPr>
      <w:bookmarkStart w:id="252" w:name="_Toc240614449"/>
      <w:r w:rsidRPr="00614EF9">
        <w:rPr>
          <w:lang w:val="fr-FR"/>
        </w:rPr>
        <w:lastRenderedPageBreak/>
        <w:t>Risques, suivi-évaluation et révision</w:t>
      </w:r>
      <w:bookmarkEnd w:id="250"/>
      <w:bookmarkEnd w:id="251"/>
      <w:bookmarkEnd w:id="252"/>
    </w:p>
    <w:p w14:paraId="654D556B" w14:textId="77777777" w:rsidR="007C757E" w:rsidRPr="00614EF9" w:rsidRDefault="009514E2" w:rsidP="007D4BE4">
      <w:pPr>
        <w:pStyle w:val="Titre2"/>
        <w:rPr>
          <w:lang w:val="fr-FR"/>
        </w:rPr>
      </w:pPr>
      <w:bookmarkStart w:id="253" w:name="_Toc232062320"/>
      <w:bookmarkStart w:id="254" w:name="_Toc236636397"/>
      <w:bookmarkStart w:id="255" w:name="_Toc240614450"/>
      <w:r w:rsidRPr="00614EF9">
        <w:rPr>
          <w:lang w:val="fr-FR"/>
        </w:rPr>
        <w:t>Registre des risques</w:t>
      </w:r>
      <w:bookmarkEnd w:id="253"/>
      <w:bookmarkEnd w:id="254"/>
      <w:bookmarkEnd w:id="255"/>
    </w:p>
    <w:p w14:paraId="62D2C5A8" w14:textId="77777777" w:rsidR="003A2650" w:rsidRPr="00614EF9" w:rsidRDefault="009514E2">
      <w:pPr>
        <w:spacing w:before="60"/>
        <w:rPr>
          <w:lang w:val="fr-FR"/>
        </w:rPr>
      </w:pPr>
      <w:r w:rsidRPr="00614EF9">
        <w:rPr>
          <w:lang w:val="fr-FR"/>
        </w:rPr>
        <w:t>Les risques identifiés à ce stade, leur criticité et les mesures d'atténuation retenues sont consignés au registre ci-après, tenu à jour par le secrétariat du comité de pilotage.</w:t>
      </w:r>
    </w:p>
    <w:tbl>
      <w:tblPr>
        <w:tblStyle w:val="TableauGrille4-Accentuation3"/>
        <w:tblW w:w="9638" w:type="dxa"/>
        <w:jc w:val="center"/>
        <w:tblLayout w:type="fixed"/>
        <w:tblLook w:val="04A0" w:firstRow="1" w:lastRow="0" w:firstColumn="1" w:lastColumn="0" w:noHBand="0" w:noVBand="1"/>
      </w:tblPr>
      <w:tblGrid>
        <w:gridCol w:w="3400"/>
        <w:gridCol w:w="1200"/>
        <w:gridCol w:w="5038"/>
      </w:tblGrid>
      <w:tr w:rsidR="00001329" w:rsidRPr="00614EF9" w14:paraId="293A2FE1" w14:textId="77777777" w:rsidTr="0000132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4AF5AB6D" w14:textId="77777777" w:rsidR="00001329" w:rsidRPr="00614EF9" w:rsidRDefault="009514E2">
            <w:pPr>
              <w:spacing w:before="20" w:after="20"/>
              <w:rPr>
                <w:lang w:val="fr-FR"/>
              </w:rPr>
            </w:pPr>
            <w:r w:rsidRPr="00614EF9">
              <w:rPr>
                <w:color w:val="FFFFFF"/>
                <w:sz w:val="18"/>
                <w:szCs w:val="18"/>
                <w:lang w:val="fr-FR"/>
              </w:rPr>
              <w:t>Risque</w:t>
            </w:r>
          </w:p>
        </w:tc>
        <w:tc>
          <w:tcPr>
            <w:tcW w:w="1200" w:type="dxa"/>
            <w:tcMar>
              <w:top w:w="40" w:type="dxa"/>
              <w:bottom w:w="40" w:type="dxa"/>
            </w:tcMar>
          </w:tcPr>
          <w:p w14:paraId="4DBE55EE"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Criticité</w:t>
            </w:r>
          </w:p>
        </w:tc>
        <w:tc>
          <w:tcPr>
            <w:tcW w:w="5038" w:type="dxa"/>
            <w:tcMar>
              <w:top w:w="40" w:type="dxa"/>
              <w:bottom w:w="40" w:type="dxa"/>
            </w:tcMar>
          </w:tcPr>
          <w:p w14:paraId="19F3636E" w14:textId="77777777" w:rsidR="00001329" w:rsidRPr="00614EF9" w:rsidRDefault="009514E2">
            <w:pPr>
              <w:spacing w:before="20" w:after="20"/>
              <w:jc w:val="center"/>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Mesure d'atténuation</w:t>
            </w:r>
          </w:p>
        </w:tc>
      </w:tr>
      <w:tr w:rsidR="00001329" w:rsidRPr="00614EF9" w14:paraId="776EC0A0"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384B9811" w14:textId="77777777" w:rsidR="00001329" w:rsidRPr="00614EF9" w:rsidRDefault="009514E2" w:rsidP="00374048">
            <w:pPr>
              <w:spacing w:before="20" w:after="20"/>
              <w:rPr>
                <w:b w:val="0"/>
                <w:bCs w:val="0"/>
                <w:lang w:val="fr-FR"/>
              </w:rPr>
            </w:pPr>
            <w:r w:rsidRPr="00614EF9">
              <w:rPr>
                <w:b w:val="0"/>
                <w:bCs w:val="0"/>
                <w:sz w:val="18"/>
                <w:szCs w:val="18"/>
                <w:lang w:val="fr-FR"/>
              </w:rPr>
              <w:t>Libération d'une bande dépourvue de base d'allocation internationale, exposant les futurs réseaux à des brouillages sans recours</w:t>
            </w:r>
          </w:p>
        </w:tc>
        <w:tc>
          <w:tcPr>
            <w:tcW w:w="1200" w:type="dxa"/>
            <w:tcMar>
              <w:top w:w="40" w:type="dxa"/>
              <w:bottom w:w="40" w:type="dxa"/>
            </w:tcMar>
          </w:tcPr>
          <w:p w14:paraId="47158909"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2036F557"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Conversion du volet 600 MHz en trajectoire préparatoire ; aucune notification de libération avant obtention d'une allocation opposable</w:t>
            </w:r>
          </w:p>
        </w:tc>
      </w:tr>
      <w:tr w:rsidR="00001329" w:rsidRPr="00614EF9" w14:paraId="56B76B42"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6EE0B8E7" w14:textId="77777777" w:rsidR="00001329" w:rsidRPr="00614EF9" w:rsidRDefault="009514E2" w:rsidP="00374048">
            <w:pPr>
              <w:spacing w:before="20" w:after="20"/>
              <w:rPr>
                <w:b w:val="0"/>
                <w:bCs w:val="0"/>
                <w:lang w:val="fr-FR"/>
              </w:rPr>
            </w:pPr>
            <w:r w:rsidRPr="00614EF9">
              <w:rPr>
                <w:b w:val="0"/>
                <w:bCs w:val="0"/>
                <w:sz w:val="18"/>
                <w:szCs w:val="18"/>
                <w:lang w:val="fr-FR"/>
              </w:rPr>
              <w:t xml:space="preserve">Conflit </w:t>
            </w:r>
            <w:proofErr w:type="spellStart"/>
            <w:r w:rsidRPr="00614EF9">
              <w:rPr>
                <w:b w:val="0"/>
                <w:bCs w:val="0"/>
                <w:sz w:val="18"/>
                <w:szCs w:val="18"/>
                <w:lang w:val="fr-FR"/>
              </w:rPr>
              <w:t>co</w:t>
            </w:r>
            <w:proofErr w:type="spellEnd"/>
            <w:r w:rsidRPr="00614EF9">
              <w:rPr>
                <w:b w:val="0"/>
                <w:bCs w:val="0"/>
                <w:sz w:val="18"/>
                <w:szCs w:val="18"/>
                <w:lang w:val="fr-FR"/>
              </w:rPr>
              <w:t>-canal en bande C : 19 stations terriennes reçoivent à l'intérieur de la bande 3 400–3 800 MHz</w:t>
            </w:r>
          </w:p>
        </w:tc>
        <w:tc>
          <w:tcPr>
            <w:tcW w:w="1200" w:type="dxa"/>
            <w:tcMar>
              <w:top w:w="40" w:type="dxa"/>
              <w:bottom w:w="40" w:type="dxa"/>
            </w:tcMar>
          </w:tcPr>
          <w:p w14:paraId="3E225CA5"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474900FB"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Report de réception préalable à toute attribution du segment concerné ; opération inscrite comme préalable à la mise à disposition du haut de la bande</w:t>
            </w:r>
          </w:p>
        </w:tc>
      </w:tr>
      <w:tr w:rsidR="00001329" w:rsidRPr="00614EF9" w14:paraId="201BCFAB"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559AA728" w14:textId="77777777" w:rsidR="00001329" w:rsidRPr="00614EF9" w:rsidRDefault="009514E2" w:rsidP="00374048">
            <w:pPr>
              <w:spacing w:before="20" w:after="20"/>
              <w:rPr>
                <w:b w:val="0"/>
                <w:bCs w:val="0"/>
                <w:lang w:val="fr-FR"/>
              </w:rPr>
            </w:pPr>
            <w:r w:rsidRPr="00614EF9">
              <w:rPr>
                <w:b w:val="0"/>
                <w:bCs w:val="0"/>
                <w:sz w:val="18"/>
                <w:szCs w:val="18"/>
                <w:lang w:val="fr-FR"/>
              </w:rPr>
              <w:t>Zones de coordination stérilisant une part excessive de la bande 3,5 GHz (46 stations recensées)</w:t>
            </w:r>
          </w:p>
        </w:tc>
        <w:tc>
          <w:tcPr>
            <w:tcW w:w="1200" w:type="dxa"/>
            <w:tcMar>
              <w:top w:w="40" w:type="dxa"/>
              <w:bottom w:w="40" w:type="dxa"/>
            </w:tcMar>
          </w:tcPr>
          <w:p w14:paraId="290B7DC1"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38E40EE2"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Calcul site par site plutôt que règle nationale uniforme ; arbitrage au vu des inventaires géolocalisés ; report de la collecte de Niamey</w:t>
            </w:r>
          </w:p>
        </w:tc>
      </w:tr>
      <w:tr w:rsidR="00001329" w:rsidRPr="00614EF9" w14:paraId="6DF6C0F0"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65FA853F" w14:textId="77777777" w:rsidR="00001329" w:rsidRPr="00614EF9" w:rsidRDefault="009514E2" w:rsidP="00374048">
            <w:pPr>
              <w:spacing w:before="20" w:after="20"/>
              <w:rPr>
                <w:b w:val="0"/>
                <w:bCs w:val="0"/>
                <w:lang w:val="fr-FR"/>
              </w:rPr>
            </w:pPr>
            <w:r w:rsidRPr="00614EF9">
              <w:rPr>
                <w:b w:val="0"/>
                <w:bCs w:val="0"/>
                <w:sz w:val="18"/>
                <w:szCs w:val="18"/>
                <w:lang w:val="fr-FR"/>
              </w:rPr>
              <w:t>Sites de radiodiffusion dépourvus de canal d'accueil dans la portion conservée</w:t>
            </w:r>
          </w:p>
        </w:tc>
        <w:tc>
          <w:tcPr>
            <w:tcW w:w="1200" w:type="dxa"/>
            <w:tcMar>
              <w:top w:w="40" w:type="dxa"/>
              <w:bottom w:w="40" w:type="dxa"/>
            </w:tcMar>
          </w:tcPr>
          <w:p w14:paraId="56D6AF95"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051ABDFA"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 xml:space="preserve">Procédure de modification du Plan au titre de l'article 4 pour Bouza, Madama et </w:t>
            </w:r>
            <w:proofErr w:type="spellStart"/>
            <w:r w:rsidRPr="00614EF9">
              <w:rPr>
                <w:sz w:val="18"/>
                <w:szCs w:val="18"/>
                <w:lang w:val="fr-FR"/>
              </w:rPr>
              <w:t>Ekrafane</w:t>
            </w:r>
            <w:proofErr w:type="spellEnd"/>
          </w:p>
        </w:tc>
      </w:tr>
      <w:tr w:rsidR="00001329" w:rsidRPr="00614EF9" w14:paraId="7BB2B03A"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2E549BF8" w14:textId="77777777" w:rsidR="00001329" w:rsidRPr="00614EF9" w:rsidRDefault="009514E2" w:rsidP="00374048">
            <w:pPr>
              <w:spacing w:before="20" w:after="20"/>
              <w:rPr>
                <w:b w:val="0"/>
                <w:bCs w:val="0"/>
                <w:lang w:val="fr-FR"/>
              </w:rPr>
            </w:pPr>
            <w:r w:rsidRPr="00614EF9">
              <w:rPr>
                <w:b w:val="0"/>
                <w:bCs w:val="0"/>
                <w:sz w:val="18"/>
                <w:szCs w:val="18"/>
                <w:lang w:val="fr-FR"/>
              </w:rPr>
              <w:t>Extinction de la diffusion analogique privant quatre localités de réception</w:t>
            </w:r>
          </w:p>
        </w:tc>
        <w:tc>
          <w:tcPr>
            <w:tcW w:w="1200" w:type="dxa"/>
            <w:tcMar>
              <w:top w:w="40" w:type="dxa"/>
              <w:bottom w:w="40" w:type="dxa"/>
            </w:tcMar>
          </w:tcPr>
          <w:p w14:paraId="7EF03868"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60B0DA47"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Évaluation préalable de l'audience résiduelle ; mesure de continuité effective avant toute extinction</w:t>
            </w:r>
          </w:p>
        </w:tc>
      </w:tr>
      <w:tr w:rsidR="00001329" w:rsidRPr="00614EF9" w14:paraId="2C269AE9"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111FAA7E" w14:textId="049D311F" w:rsidR="00001329" w:rsidRPr="00614EF9" w:rsidRDefault="009514E2" w:rsidP="00374048">
            <w:pPr>
              <w:spacing w:before="20" w:after="20"/>
              <w:rPr>
                <w:b w:val="0"/>
                <w:bCs w:val="0"/>
                <w:lang w:val="fr-FR"/>
              </w:rPr>
            </w:pPr>
            <w:r w:rsidRPr="00614EF9">
              <w:rPr>
                <w:b w:val="0"/>
                <w:bCs w:val="0"/>
                <w:sz w:val="18"/>
                <w:szCs w:val="18"/>
                <w:lang w:val="fr-FR"/>
              </w:rPr>
              <w:t xml:space="preserve">Inventaire de la radiodiffusion incomplet : absence de contribution de </w:t>
            </w:r>
            <w:r w:rsidR="008E6080" w:rsidRPr="00614EF9">
              <w:rPr>
                <w:b w:val="0"/>
                <w:bCs w:val="0"/>
                <w:sz w:val="18"/>
                <w:szCs w:val="18"/>
                <w:lang w:val="fr-FR"/>
              </w:rPr>
              <w:t>TELESTAR</w:t>
            </w:r>
          </w:p>
        </w:tc>
        <w:tc>
          <w:tcPr>
            <w:tcW w:w="1200" w:type="dxa"/>
            <w:tcMar>
              <w:top w:w="40" w:type="dxa"/>
              <w:bottom w:w="40" w:type="dxa"/>
            </w:tcMar>
          </w:tcPr>
          <w:p w14:paraId="06DC5C33"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4EC9BB63"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Relance individuelle avant clôture du dépouillement ; recensement d'office à partir du fichier national des assignations</w:t>
            </w:r>
          </w:p>
        </w:tc>
      </w:tr>
      <w:tr w:rsidR="00001329" w:rsidRPr="00614EF9" w14:paraId="6DD517B0"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60119D3B" w14:textId="77777777" w:rsidR="00001329" w:rsidRPr="00614EF9" w:rsidRDefault="009514E2" w:rsidP="00374048">
            <w:pPr>
              <w:spacing w:before="20" w:after="20"/>
              <w:rPr>
                <w:b w:val="0"/>
                <w:bCs w:val="0"/>
                <w:lang w:val="fr-FR"/>
              </w:rPr>
            </w:pPr>
            <w:r w:rsidRPr="00614EF9">
              <w:rPr>
                <w:b w:val="0"/>
                <w:bCs w:val="0"/>
                <w:sz w:val="18"/>
                <w:szCs w:val="18"/>
                <w:lang w:val="fr-FR"/>
              </w:rPr>
              <w:t>Incapacité déclarée d'un exploitant à se conformer au mécanisme de coordination automatisée</w:t>
            </w:r>
          </w:p>
        </w:tc>
        <w:tc>
          <w:tcPr>
            <w:tcW w:w="1200" w:type="dxa"/>
            <w:tcMar>
              <w:top w:w="40" w:type="dxa"/>
              <w:bottom w:w="40" w:type="dxa"/>
            </w:tcMar>
          </w:tcPr>
          <w:p w14:paraId="1EC9D04E"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3F48FB15"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Instruction technique du cas ; le régime de puissance standard en 6 GHz repose entièrement sur ce mécanisme ; à défaut, régime alternatif ou maintien encadré</w:t>
            </w:r>
          </w:p>
        </w:tc>
      </w:tr>
      <w:tr w:rsidR="00001329" w:rsidRPr="00614EF9" w14:paraId="7D11C67D"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22FAAA95" w14:textId="77777777" w:rsidR="00001329" w:rsidRPr="00614EF9" w:rsidRDefault="009514E2" w:rsidP="00374048">
            <w:pPr>
              <w:spacing w:before="20" w:after="20"/>
              <w:rPr>
                <w:b w:val="0"/>
                <w:bCs w:val="0"/>
                <w:lang w:val="fr-FR"/>
              </w:rPr>
            </w:pPr>
            <w:r w:rsidRPr="00614EF9">
              <w:rPr>
                <w:b w:val="0"/>
                <w:bCs w:val="0"/>
                <w:sz w:val="18"/>
                <w:szCs w:val="18"/>
                <w:lang w:val="fr-FR"/>
              </w:rPr>
              <w:t>Opposition d'un exploitant au principe même de la migration des réseaux d'accès hertzien fixe</w:t>
            </w:r>
          </w:p>
        </w:tc>
        <w:tc>
          <w:tcPr>
            <w:tcW w:w="1200" w:type="dxa"/>
            <w:tcMar>
              <w:top w:w="40" w:type="dxa"/>
              <w:bottom w:w="40" w:type="dxa"/>
            </w:tcMar>
          </w:tcPr>
          <w:p w14:paraId="056EE256"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Moyenne</w:t>
            </w:r>
          </w:p>
        </w:tc>
        <w:tc>
          <w:tcPr>
            <w:tcW w:w="5038" w:type="dxa"/>
            <w:tcMar>
              <w:top w:w="40" w:type="dxa"/>
              <w:bottom w:w="40" w:type="dxa"/>
            </w:tcMar>
          </w:tcPr>
          <w:p w14:paraId="09EDA64E"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Instruction de la contre-proposition formulée ; concertation préalable à l'arrêt du volet</w:t>
            </w:r>
          </w:p>
        </w:tc>
      </w:tr>
      <w:tr w:rsidR="00001329" w:rsidRPr="00614EF9" w14:paraId="21B95B5B"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2DF8A68B" w14:textId="77777777" w:rsidR="00001329" w:rsidRPr="00614EF9" w:rsidRDefault="009514E2" w:rsidP="00374048">
            <w:pPr>
              <w:spacing w:before="20" w:after="20"/>
              <w:rPr>
                <w:b w:val="0"/>
                <w:bCs w:val="0"/>
                <w:lang w:val="fr-FR"/>
              </w:rPr>
            </w:pPr>
            <w:r w:rsidRPr="00614EF9">
              <w:rPr>
                <w:b w:val="0"/>
                <w:bCs w:val="0"/>
                <w:sz w:val="18"/>
                <w:szCs w:val="18"/>
                <w:lang w:val="fr-FR"/>
              </w:rPr>
              <w:t>Chiffrages de migration non fiabilisés</w:t>
            </w:r>
          </w:p>
        </w:tc>
        <w:tc>
          <w:tcPr>
            <w:tcW w:w="1200" w:type="dxa"/>
            <w:tcMar>
              <w:top w:w="40" w:type="dxa"/>
              <w:bottom w:w="40" w:type="dxa"/>
            </w:tcMar>
          </w:tcPr>
          <w:p w14:paraId="3719E303"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7726ACA0"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Justification sur pièces ; durée d'amortissement de référence unique ; plafonnement par barèmes publiés</w:t>
            </w:r>
          </w:p>
        </w:tc>
      </w:tr>
      <w:tr w:rsidR="00001329" w:rsidRPr="00614EF9" w14:paraId="4CF728A4"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5EF274D1" w14:textId="56123377" w:rsidR="00001329" w:rsidRPr="00614EF9" w:rsidRDefault="009514E2" w:rsidP="00374048">
            <w:pPr>
              <w:spacing w:before="20" w:after="20"/>
              <w:rPr>
                <w:b w:val="0"/>
                <w:bCs w:val="0"/>
                <w:lang w:val="fr-FR"/>
              </w:rPr>
            </w:pPr>
            <w:r w:rsidRPr="00614EF9">
              <w:rPr>
                <w:b w:val="0"/>
                <w:bCs w:val="0"/>
                <w:sz w:val="18"/>
                <w:szCs w:val="18"/>
                <w:lang w:val="fr-FR"/>
              </w:rPr>
              <w:t>Inventaires géolocalisés incomplets (</w:t>
            </w:r>
            <w:r w:rsidR="008732DB" w:rsidRPr="00614EF9">
              <w:rPr>
                <w:b w:val="0"/>
                <w:bCs w:val="0"/>
                <w:sz w:val="18"/>
                <w:szCs w:val="18"/>
                <w:lang w:val="fr-FR"/>
              </w:rPr>
              <w:t>CELTEL</w:t>
            </w:r>
            <w:r w:rsidR="008732DB">
              <w:rPr>
                <w:b w:val="0"/>
                <w:bCs w:val="0"/>
                <w:sz w:val="18"/>
                <w:szCs w:val="18"/>
                <w:lang w:val="fr-FR"/>
              </w:rPr>
              <w:t xml:space="preserve"> NIGER</w:t>
            </w:r>
            <w:r w:rsidR="008732DB" w:rsidRPr="00614EF9">
              <w:rPr>
                <w:b w:val="0"/>
                <w:bCs w:val="0"/>
                <w:sz w:val="18"/>
                <w:szCs w:val="18"/>
                <w:lang w:val="fr-FR"/>
              </w:rPr>
              <w:t xml:space="preserve"> </w:t>
            </w:r>
            <w:r w:rsidRPr="00614EF9">
              <w:rPr>
                <w:b w:val="0"/>
                <w:bCs w:val="0"/>
                <w:sz w:val="18"/>
                <w:szCs w:val="18"/>
                <w:lang w:val="fr-FR"/>
              </w:rPr>
              <w:t xml:space="preserve">et </w:t>
            </w:r>
            <w:r w:rsidR="008732DB">
              <w:rPr>
                <w:b w:val="0"/>
                <w:bCs w:val="0"/>
                <w:sz w:val="18"/>
                <w:szCs w:val="18"/>
                <w:lang w:val="fr-FR"/>
              </w:rPr>
              <w:t>TDN</w:t>
            </w:r>
            <w:r w:rsidRPr="00614EF9">
              <w:rPr>
                <w:b w:val="0"/>
                <w:bCs w:val="0"/>
                <w:sz w:val="18"/>
                <w:szCs w:val="18"/>
                <w:lang w:val="fr-FR"/>
              </w:rPr>
              <w:t>)</w:t>
            </w:r>
          </w:p>
        </w:tc>
        <w:tc>
          <w:tcPr>
            <w:tcW w:w="1200" w:type="dxa"/>
            <w:tcMar>
              <w:top w:w="40" w:type="dxa"/>
              <w:bottom w:w="40" w:type="dxa"/>
            </w:tcMar>
          </w:tcPr>
          <w:p w14:paraId="16787010"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256FCC23"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Obligation de déclaration préalable à toute protection ; aucun engagement de dépense avant obtention de ces données</w:t>
            </w:r>
          </w:p>
        </w:tc>
      </w:tr>
      <w:tr w:rsidR="00001329" w:rsidRPr="00614EF9" w14:paraId="772594F4"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40DEF1D2" w14:textId="77777777" w:rsidR="00001329" w:rsidRPr="00614EF9" w:rsidRDefault="009514E2" w:rsidP="00374048">
            <w:pPr>
              <w:spacing w:before="20" w:after="20"/>
              <w:rPr>
                <w:b w:val="0"/>
                <w:bCs w:val="0"/>
                <w:lang w:val="fr-FR"/>
              </w:rPr>
            </w:pPr>
            <w:r w:rsidRPr="00614EF9">
              <w:rPr>
                <w:b w:val="0"/>
                <w:bCs w:val="0"/>
                <w:sz w:val="18"/>
                <w:szCs w:val="18"/>
                <w:lang w:val="fr-FR"/>
              </w:rPr>
              <w:t>Brouillage du service mobile par intermodulation issue de la radiodiffusion sonore</w:t>
            </w:r>
          </w:p>
        </w:tc>
        <w:tc>
          <w:tcPr>
            <w:tcW w:w="1200" w:type="dxa"/>
            <w:tcMar>
              <w:top w:w="40" w:type="dxa"/>
              <w:bottom w:w="40" w:type="dxa"/>
            </w:tcMar>
          </w:tcPr>
          <w:p w14:paraId="43EFE1C0"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64B46222"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Campagne conjointe de mesures ; obligation de filtrage sur les onze sites non équipés</w:t>
            </w:r>
          </w:p>
        </w:tc>
      </w:tr>
      <w:tr w:rsidR="00001329" w:rsidRPr="00614EF9" w14:paraId="2DCF31A3"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77D05657" w14:textId="77777777" w:rsidR="00001329" w:rsidRPr="00614EF9" w:rsidRDefault="009514E2" w:rsidP="00374048">
            <w:pPr>
              <w:spacing w:before="20" w:after="20"/>
              <w:rPr>
                <w:b w:val="0"/>
                <w:bCs w:val="0"/>
                <w:lang w:val="fr-FR"/>
              </w:rPr>
            </w:pPr>
            <w:r w:rsidRPr="00614EF9">
              <w:rPr>
                <w:b w:val="0"/>
                <w:bCs w:val="0"/>
                <w:sz w:val="18"/>
                <w:szCs w:val="18"/>
                <w:lang w:val="fr-FR"/>
              </w:rPr>
              <w:t>Brouillage des stations terriennes par réponse image lié à l'ouverture de la bande 6 GHz</w:t>
            </w:r>
          </w:p>
        </w:tc>
        <w:tc>
          <w:tcPr>
            <w:tcW w:w="1200" w:type="dxa"/>
            <w:tcMar>
              <w:top w:w="40" w:type="dxa"/>
              <w:bottom w:w="40" w:type="dxa"/>
            </w:tcMar>
          </w:tcPr>
          <w:p w14:paraId="0E8D31A2"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Moyenne</w:t>
            </w:r>
          </w:p>
        </w:tc>
        <w:tc>
          <w:tcPr>
            <w:tcW w:w="5038" w:type="dxa"/>
            <w:tcMar>
              <w:top w:w="40" w:type="dxa"/>
              <w:bottom w:w="40" w:type="dxa"/>
            </w:tcMar>
          </w:tcPr>
          <w:p w14:paraId="59B5C83A"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Mesure de vérification sur le site de Zinder ; spécification des filtres couvrant la réponse image</w:t>
            </w:r>
          </w:p>
        </w:tc>
      </w:tr>
      <w:tr w:rsidR="00001329" w:rsidRPr="00614EF9" w14:paraId="1CEA5C1D"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00B00885" w14:textId="77777777" w:rsidR="00001329" w:rsidRPr="00614EF9" w:rsidRDefault="009514E2" w:rsidP="00374048">
            <w:pPr>
              <w:spacing w:before="20" w:after="20"/>
              <w:rPr>
                <w:b w:val="0"/>
                <w:bCs w:val="0"/>
                <w:lang w:val="fr-FR"/>
              </w:rPr>
            </w:pPr>
            <w:r w:rsidRPr="00614EF9">
              <w:rPr>
                <w:b w:val="0"/>
                <w:bCs w:val="0"/>
                <w:sz w:val="18"/>
                <w:szCs w:val="18"/>
                <w:lang w:val="fr-FR"/>
              </w:rPr>
              <w:t>Financement constitué postérieurement aux dépenses</w:t>
            </w:r>
          </w:p>
        </w:tc>
        <w:tc>
          <w:tcPr>
            <w:tcW w:w="1200" w:type="dxa"/>
            <w:tcMar>
              <w:top w:w="40" w:type="dxa"/>
              <w:bottom w:w="40" w:type="dxa"/>
            </w:tcMar>
          </w:tcPr>
          <w:p w14:paraId="7C4382AC"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Mar>
              <w:top w:w="40" w:type="dxa"/>
              <w:bottom w:w="40" w:type="dxa"/>
            </w:tcMar>
          </w:tcPr>
          <w:p w14:paraId="44F8EEB5"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Consignation préalable des contributions comme condition de recevabilité des candidatures</w:t>
            </w:r>
          </w:p>
        </w:tc>
      </w:tr>
      <w:tr w:rsidR="00001329" w:rsidRPr="00614EF9" w14:paraId="5244D5DA" w14:textId="77777777" w:rsidTr="00001329">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65DC8D83" w14:textId="77777777" w:rsidR="00001329" w:rsidRPr="00614EF9" w:rsidRDefault="009514E2" w:rsidP="00374048">
            <w:pPr>
              <w:spacing w:before="20" w:after="20"/>
              <w:rPr>
                <w:b w:val="0"/>
                <w:bCs w:val="0"/>
                <w:lang w:val="fr-FR"/>
              </w:rPr>
            </w:pPr>
            <w:r w:rsidRPr="00614EF9">
              <w:rPr>
                <w:b w:val="0"/>
                <w:bCs w:val="0"/>
                <w:sz w:val="18"/>
                <w:szCs w:val="18"/>
                <w:lang w:val="fr-FR"/>
              </w:rPr>
              <w:t>Exécution programmée avant expiration des préavis notifiés</w:t>
            </w:r>
          </w:p>
        </w:tc>
        <w:tc>
          <w:tcPr>
            <w:tcW w:w="1200" w:type="dxa"/>
            <w:tcMar>
              <w:top w:w="40" w:type="dxa"/>
              <w:bottom w:w="40" w:type="dxa"/>
            </w:tcMar>
          </w:tcPr>
          <w:p w14:paraId="592DD7A5"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Moyenne</w:t>
            </w:r>
          </w:p>
        </w:tc>
        <w:tc>
          <w:tcPr>
            <w:tcW w:w="5038" w:type="dxa"/>
            <w:tcMar>
              <w:top w:w="40" w:type="dxa"/>
              <w:bottom w:w="40" w:type="dxa"/>
            </w:tcMar>
          </w:tcPr>
          <w:p w14:paraId="4EB6B4D9" w14:textId="77777777" w:rsidR="00001329"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Notifications émises dès l'adoption du plan ; jalons de décision conditionnant le passage de phase</w:t>
            </w:r>
          </w:p>
        </w:tc>
      </w:tr>
      <w:tr w:rsidR="00001329" w:rsidRPr="00614EF9" w14:paraId="6121CF95" w14:textId="77777777" w:rsidTr="000013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35CCF10D" w14:textId="77777777" w:rsidR="00001329" w:rsidRPr="00614EF9" w:rsidRDefault="009514E2" w:rsidP="00374048">
            <w:pPr>
              <w:spacing w:before="20" w:after="20"/>
              <w:rPr>
                <w:b w:val="0"/>
                <w:bCs w:val="0"/>
                <w:lang w:val="fr-FR"/>
              </w:rPr>
            </w:pPr>
            <w:r w:rsidRPr="00614EF9">
              <w:rPr>
                <w:b w:val="0"/>
                <w:bCs w:val="0"/>
                <w:sz w:val="18"/>
                <w:szCs w:val="18"/>
                <w:lang w:val="fr-FR"/>
              </w:rPr>
              <w:t>Dérive du calendrier d'ensemble</w:t>
            </w:r>
          </w:p>
        </w:tc>
        <w:tc>
          <w:tcPr>
            <w:tcW w:w="1200" w:type="dxa"/>
            <w:tcMar>
              <w:top w:w="40" w:type="dxa"/>
              <w:bottom w:w="40" w:type="dxa"/>
            </w:tcMar>
          </w:tcPr>
          <w:p w14:paraId="124845EF"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Moyenne</w:t>
            </w:r>
          </w:p>
        </w:tc>
        <w:tc>
          <w:tcPr>
            <w:tcW w:w="5038" w:type="dxa"/>
            <w:tcMar>
              <w:top w:w="40" w:type="dxa"/>
              <w:bottom w:w="40" w:type="dxa"/>
            </w:tcMar>
          </w:tcPr>
          <w:p w14:paraId="79AF9CDD" w14:textId="77777777" w:rsidR="00001329"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Revue trimestrielle ; révision annuelle du plan</w:t>
            </w:r>
          </w:p>
        </w:tc>
      </w:tr>
      <w:tr w:rsidR="00AD6608" w:rsidRPr="00614EF9" w14:paraId="11886F0C" w14:textId="77777777" w:rsidTr="00AD6608">
        <w:trPr>
          <w:jc w:val="center"/>
        </w:trPr>
        <w:tc>
          <w:tcPr>
            <w:cnfStyle w:val="001000000000" w:firstRow="0" w:lastRow="0" w:firstColumn="1" w:lastColumn="0" w:oddVBand="0" w:evenVBand="0" w:oddHBand="0" w:evenHBand="0" w:firstRowFirstColumn="0" w:firstRowLastColumn="0" w:lastRowFirstColumn="0" w:lastRowLastColumn="0"/>
            <w:tcW w:w="3400" w:type="dxa"/>
          </w:tcPr>
          <w:p w14:paraId="6925665C" w14:textId="77777777" w:rsidR="00AD6608" w:rsidRPr="00614EF9" w:rsidRDefault="009514E2" w:rsidP="00374048">
            <w:pPr>
              <w:spacing w:before="20" w:after="20"/>
              <w:rPr>
                <w:b w:val="0"/>
                <w:bCs w:val="0"/>
                <w:lang w:val="fr-FR"/>
              </w:rPr>
            </w:pPr>
            <w:r w:rsidRPr="00614EF9">
              <w:rPr>
                <w:b w:val="0"/>
                <w:bCs w:val="0"/>
                <w:sz w:val="18"/>
                <w:szCs w:val="18"/>
                <w:lang w:val="fr-FR"/>
              </w:rPr>
              <w:lastRenderedPageBreak/>
              <w:t>Démantèlement de sites et non-renouvellement d'autorisation affectant un opérateur d'infrastructures passives non assignataire</w:t>
            </w:r>
          </w:p>
        </w:tc>
        <w:tc>
          <w:tcPr>
            <w:tcW w:w="1200" w:type="dxa"/>
          </w:tcPr>
          <w:p w14:paraId="5AD4D274"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Moyenne</w:t>
            </w:r>
          </w:p>
        </w:tc>
        <w:tc>
          <w:tcPr>
            <w:tcW w:w="5038" w:type="dxa"/>
          </w:tcPr>
          <w:p w14:paraId="319A8FB9"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Association aux travaux du comité de pilotage sur le partage d'infrastructures et la fermeture de sites ; préavis spécifique</w:t>
            </w:r>
          </w:p>
        </w:tc>
      </w:tr>
      <w:tr w:rsidR="00AD6608" w:rsidRPr="00614EF9" w14:paraId="53564C36" w14:textId="77777777" w:rsidTr="00AD66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Pr>
          <w:p w14:paraId="3A18D3BC" w14:textId="77777777" w:rsidR="00AD6608" w:rsidRPr="00614EF9" w:rsidRDefault="009514E2" w:rsidP="00374048">
            <w:pPr>
              <w:spacing w:before="20" w:after="20"/>
              <w:rPr>
                <w:b w:val="0"/>
                <w:bCs w:val="0"/>
                <w:lang w:val="fr-FR"/>
              </w:rPr>
            </w:pPr>
            <w:r w:rsidRPr="00614EF9">
              <w:rPr>
                <w:b w:val="0"/>
                <w:bCs w:val="0"/>
                <w:sz w:val="18"/>
                <w:szCs w:val="18"/>
                <w:lang w:val="fr-FR"/>
              </w:rPr>
              <w:t>Écarts entre la matrice de compilation des contributions et les contributions sources</w:t>
            </w:r>
          </w:p>
        </w:tc>
        <w:tc>
          <w:tcPr>
            <w:tcW w:w="1200" w:type="dxa"/>
          </w:tcPr>
          <w:p w14:paraId="657FABDC" w14:textId="77777777" w:rsidR="00AD6608"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Moyenne</w:t>
            </w:r>
          </w:p>
        </w:tc>
        <w:tc>
          <w:tcPr>
            <w:tcW w:w="5038" w:type="dxa"/>
          </w:tcPr>
          <w:p w14:paraId="6DF10B95" w14:textId="77777777" w:rsidR="00AD6608"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Vérification contradictoire auprès des contributeurs avant publication de la synthèse ; trois écarts identifiés à ce jour</w:t>
            </w:r>
          </w:p>
        </w:tc>
      </w:tr>
      <w:tr w:rsidR="00AD6608" w:rsidRPr="00614EF9" w14:paraId="7CC59E09" w14:textId="77777777" w:rsidTr="00AD6608">
        <w:trPr>
          <w:jc w:val="center"/>
        </w:trPr>
        <w:tc>
          <w:tcPr>
            <w:cnfStyle w:val="001000000000" w:firstRow="0" w:lastRow="0" w:firstColumn="1" w:lastColumn="0" w:oddVBand="0" w:evenVBand="0" w:oddHBand="0" w:evenHBand="0" w:firstRowFirstColumn="0" w:firstRowLastColumn="0" w:lastRowFirstColumn="0" w:lastRowLastColumn="0"/>
            <w:tcW w:w="3400" w:type="dxa"/>
          </w:tcPr>
          <w:p w14:paraId="30B6A1D7" w14:textId="77777777" w:rsidR="00AD6608" w:rsidRPr="00614EF9" w:rsidRDefault="009514E2" w:rsidP="00374048">
            <w:pPr>
              <w:spacing w:before="20" w:after="20"/>
              <w:rPr>
                <w:b w:val="0"/>
                <w:bCs w:val="0"/>
                <w:lang w:val="fr-FR"/>
              </w:rPr>
            </w:pPr>
            <w:r w:rsidRPr="00614EF9">
              <w:rPr>
                <w:b w:val="0"/>
                <w:bCs w:val="0"/>
                <w:sz w:val="18"/>
                <w:szCs w:val="18"/>
                <w:lang w:val="fr-FR"/>
              </w:rPr>
              <w:t>Absence de base juridique du régime d'autorisation envisagé pour la bande 6 GHz, le cadre national ne prévoyant ni exemption ni autorisation générale</w:t>
            </w:r>
          </w:p>
        </w:tc>
        <w:tc>
          <w:tcPr>
            <w:tcW w:w="1200" w:type="dxa"/>
          </w:tcPr>
          <w:p w14:paraId="696B6FFF"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Élevée</w:t>
            </w:r>
          </w:p>
        </w:tc>
        <w:tc>
          <w:tcPr>
            <w:tcW w:w="5038" w:type="dxa"/>
          </w:tcPr>
          <w:p w14:paraId="59B480FF"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Identification du régime applicable parmi les catégories existantes, ou création d'un régime allégé par voie réglementaire, préalablement à toute notification au titre de ce volet</w:t>
            </w:r>
          </w:p>
        </w:tc>
      </w:tr>
      <w:tr w:rsidR="00AD6608" w:rsidRPr="00614EF9" w14:paraId="54FF07FA" w14:textId="77777777" w:rsidTr="00AD66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Pr>
          <w:p w14:paraId="444CB296" w14:textId="77777777" w:rsidR="00AD6608" w:rsidRPr="00614EF9" w:rsidRDefault="009514E2" w:rsidP="00374048">
            <w:pPr>
              <w:spacing w:before="20" w:after="20"/>
              <w:rPr>
                <w:b w:val="0"/>
                <w:bCs w:val="0"/>
                <w:lang w:val="fr-FR"/>
              </w:rPr>
            </w:pPr>
            <w:r w:rsidRPr="00614EF9">
              <w:rPr>
                <w:b w:val="0"/>
                <w:bCs w:val="0"/>
                <w:sz w:val="18"/>
                <w:szCs w:val="18"/>
                <w:lang w:val="fr-FR"/>
              </w:rPr>
              <w:t xml:space="preserve">Disparition, entre deux versions du classeur d'analyse, de l'inventaire des stations terriennes en recouvrement </w:t>
            </w:r>
            <w:proofErr w:type="spellStart"/>
            <w:r w:rsidRPr="00614EF9">
              <w:rPr>
                <w:b w:val="0"/>
                <w:bCs w:val="0"/>
                <w:sz w:val="18"/>
                <w:szCs w:val="18"/>
                <w:lang w:val="fr-FR"/>
              </w:rPr>
              <w:t>co</w:t>
            </w:r>
            <w:proofErr w:type="spellEnd"/>
            <w:r w:rsidRPr="00614EF9">
              <w:rPr>
                <w:b w:val="0"/>
                <w:bCs w:val="0"/>
                <w:sz w:val="18"/>
                <w:szCs w:val="18"/>
                <w:lang w:val="fr-FR"/>
              </w:rPr>
              <w:t>-canal</w:t>
            </w:r>
          </w:p>
        </w:tc>
        <w:tc>
          <w:tcPr>
            <w:tcW w:w="1200" w:type="dxa"/>
          </w:tcPr>
          <w:p w14:paraId="4D6BECF3" w14:textId="77777777" w:rsidR="00AD6608"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Élevée</w:t>
            </w:r>
          </w:p>
        </w:tc>
        <w:tc>
          <w:tcPr>
            <w:tcW w:w="5038" w:type="dxa"/>
          </w:tcPr>
          <w:p w14:paraId="406DF28E" w14:textId="77777777" w:rsidR="00AD6608" w:rsidRPr="00614EF9" w:rsidRDefault="009514E2" w:rsidP="00374048">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Vérification contradictoire auprès du contributeur ; hypothèse la plus défavorable retenue dans l'attente ; report de réception maintenu comme préalable</w:t>
            </w:r>
          </w:p>
        </w:tc>
      </w:tr>
      <w:tr w:rsidR="00AD6608" w:rsidRPr="00614EF9" w14:paraId="4D5ECAB6" w14:textId="77777777" w:rsidTr="00AD6608">
        <w:trPr>
          <w:jc w:val="center"/>
        </w:trPr>
        <w:tc>
          <w:tcPr>
            <w:cnfStyle w:val="001000000000" w:firstRow="0" w:lastRow="0" w:firstColumn="1" w:lastColumn="0" w:oddVBand="0" w:evenVBand="0" w:oddHBand="0" w:evenHBand="0" w:firstRowFirstColumn="0" w:firstRowLastColumn="0" w:lastRowFirstColumn="0" w:lastRowLastColumn="0"/>
            <w:tcW w:w="3400" w:type="dxa"/>
          </w:tcPr>
          <w:p w14:paraId="56E1EC38" w14:textId="77777777" w:rsidR="00AD6608" w:rsidRPr="00614EF9" w:rsidRDefault="009514E2" w:rsidP="00374048">
            <w:pPr>
              <w:spacing w:before="20" w:after="20"/>
              <w:rPr>
                <w:b w:val="0"/>
                <w:bCs w:val="0"/>
                <w:lang w:val="fr-FR"/>
              </w:rPr>
            </w:pPr>
            <w:r w:rsidRPr="00614EF9">
              <w:rPr>
                <w:b w:val="0"/>
                <w:bCs w:val="0"/>
                <w:sz w:val="18"/>
                <w:szCs w:val="18"/>
                <w:lang w:val="fr-FR"/>
              </w:rPr>
              <w:t>Autorisation d'un opérateur d'infrastructures passives expirée et demande de renouvellement en instance depuis deux ans</w:t>
            </w:r>
          </w:p>
        </w:tc>
        <w:tc>
          <w:tcPr>
            <w:tcW w:w="1200" w:type="dxa"/>
          </w:tcPr>
          <w:p w14:paraId="342FF77D"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Moyenne</w:t>
            </w:r>
          </w:p>
        </w:tc>
        <w:tc>
          <w:tcPr>
            <w:tcW w:w="5038" w:type="dxa"/>
          </w:tcPr>
          <w:p w14:paraId="2F363367" w14:textId="77777777" w:rsidR="00AD6608" w:rsidRPr="00614EF9" w:rsidRDefault="009514E2" w:rsidP="00374048">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Instruction distincte du plan de transition ; aucune obligation du plan ne peut être utilement assignée à un acteur dont le titre n'est pas régularisé</w:t>
            </w:r>
          </w:p>
        </w:tc>
      </w:tr>
    </w:tbl>
    <w:p w14:paraId="48938F38" w14:textId="77777777" w:rsidR="0066730D" w:rsidRPr="00614EF9" w:rsidRDefault="0066730D" w:rsidP="0066730D">
      <w:pPr>
        <w:pStyle w:val="Lgende"/>
        <w:spacing w:before="120" w:after="120"/>
        <w:rPr>
          <w:color w:val="000000" w:themeColor="text1"/>
          <w:lang w:val="fr-FR"/>
        </w:rPr>
      </w:pPr>
      <w:bookmarkStart w:id="256" w:name="_Toc240614537"/>
      <w:r w:rsidRPr="00614EF9">
        <w:rPr>
          <w:color w:val="000000" w:themeColor="text1"/>
          <w:lang w:val="fr-FR"/>
        </w:rPr>
        <w:t xml:space="preserve">Tableau </w:t>
      </w:r>
      <w:proofErr w:type="gramStart"/>
      <w:r w:rsidRPr="00614EF9">
        <w:rPr>
          <w:color w:val="000000" w:themeColor="text1"/>
          <w:lang w:val="fr-FR"/>
        </w:rPr>
        <w:t>23:</w:t>
      </w:r>
      <w:proofErr w:type="gramEnd"/>
      <w:r w:rsidRPr="00614EF9">
        <w:rPr>
          <w:color w:val="000000" w:themeColor="text1"/>
          <w:lang w:val="fr-FR"/>
        </w:rPr>
        <w:t xml:space="preserve"> Registre des risques du plan de transition</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23</w:t>
      </w:r>
      <w:bookmarkEnd w:id="256"/>
      <w:r w:rsidRPr="00614EF9">
        <w:rPr>
          <w:color w:val="000000" w:themeColor="text1"/>
          <w:lang w:val="fr-FR"/>
        </w:rPr>
        <w:fldChar w:fldCharType="end"/>
      </w:r>
    </w:p>
    <w:p w14:paraId="5FEA2EC9" w14:textId="77777777" w:rsidR="007C757E" w:rsidRPr="00614EF9" w:rsidRDefault="009514E2" w:rsidP="007D4BE4">
      <w:pPr>
        <w:pStyle w:val="Titre2"/>
        <w:rPr>
          <w:lang w:val="fr-FR"/>
        </w:rPr>
      </w:pPr>
      <w:bookmarkStart w:id="257" w:name="_Toc232062321"/>
      <w:bookmarkStart w:id="258" w:name="_Toc236636398"/>
      <w:bookmarkStart w:id="259" w:name="_Toc240614451"/>
      <w:r w:rsidRPr="00614EF9">
        <w:rPr>
          <w:lang w:val="fr-FR"/>
        </w:rPr>
        <w:t>Indicateurs de suivi</w:t>
      </w:r>
      <w:bookmarkEnd w:id="257"/>
      <w:bookmarkEnd w:id="258"/>
      <w:bookmarkEnd w:id="259"/>
    </w:p>
    <w:p w14:paraId="3611ADE3" w14:textId="77777777" w:rsidR="003A2650" w:rsidRPr="00614EF9" w:rsidRDefault="009514E2">
      <w:pPr>
        <w:spacing w:before="60"/>
        <w:rPr>
          <w:lang w:val="fr-FR"/>
        </w:rPr>
      </w:pPr>
      <w:r w:rsidRPr="00614EF9">
        <w:rPr>
          <w:lang w:val="fr-FR"/>
        </w:rPr>
        <w:t>L'exécution du plan est mesurée au moyen des indicateurs suivants, renseignés trimestriellement par la Direction des Radiocommunications.</w:t>
      </w:r>
    </w:p>
    <w:tbl>
      <w:tblPr>
        <w:tblStyle w:val="TableauGrille4-Accentuation3"/>
        <w:tblW w:w="9638" w:type="dxa"/>
        <w:jc w:val="center"/>
        <w:tblLayout w:type="fixed"/>
        <w:tblLook w:val="04A0" w:firstRow="1" w:lastRow="0" w:firstColumn="1" w:lastColumn="0" w:noHBand="0" w:noVBand="1"/>
      </w:tblPr>
      <w:tblGrid>
        <w:gridCol w:w="2400"/>
        <w:gridCol w:w="4900"/>
        <w:gridCol w:w="2338"/>
      </w:tblGrid>
      <w:tr w:rsidR="003A2650" w:rsidRPr="00614EF9" w14:paraId="7573A482" w14:textId="77777777" w:rsidTr="003A265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F48A146" w14:textId="77777777" w:rsidR="003A2650" w:rsidRPr="00614EF9" w:rsidRDefault="009514E2">
            <w:pPr>
              <w:spacing w:before="20" w:after="20"/>
              <w:rPr>
                <w:lang w:val="fr-FR"/>
              </w:rPr>
            </w:pPr>
            <w:r w:rsidRPr="00614EF9">
              <w:rPr>
                <w:color w:val="FFFFFF"/>
                <w:sz w:val="18"/>
                <w:szCs w:val="18"/>
                <w:lang w:val="fr-FR"/>
              </w:rPr>
              <w:t>Indicateur</w:t>
            </w:r>
          </w:p>
        </w:tc>
        <w:tc>
          <w:tcPr>
            <w:tcW w:w="4900" w:type="dxa"/>
            <w:tcMar>
              <w:top w:w="40" w:type="dxa"/>
              <w:bottom w:w="40" w:type="dxa"/>
            </w:tcMar>
          </w:tcPr>
          <w:p w14:paraId="005FE309"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Définition</w:t>
            </w:r>
          </w:p>
        </w:tc>
        <w:tc>
          <w:tcPr>
            <w:tcW w:w="2338" w:type="dxa"/>
            <w:tcMar>
              <w:top w:w="40" w:type="dxa"/>
              <w:bottom w:w="40" w:type="dxa"/>
            </w:tcMar>
          </w:tcPr>
          <w:p w14:paraId="79957342" w14:textId="77777777" w:rsidR="003A2650" w:rsidRPr="00614EF9" w:rsidRDefault="009514E2">
            <w:pPr>
              <w:spacing w:before="20" w:after="20"/>
              <w:cnfStyle w:val="100000000000" w:firstRow="1" w:lastRow="0" w:firstColumn="0" w:lastColumn="0" w:oddVBand="0" w:evenVBand="0" w:oddHBand="0" w:evenHBand="0" w:firstRowFirstColumn="0" w:firstRowLastColumn="0" w:lastRowFirstColumn="0" w:lastRowLastColumn="0"/>
              <w:rPr>
                <w:lang w:val="fr-FR"/>
              </w:rPr>
            </w:pPr>
            <w:r w:rsidRPr="00614EF9">
              <w:rPr>
                <w:color w:val="FFFFFF"/>
                <w:sz w:val="18"/>
                <w:szCs w:val="18"/>
                <w:lang w:val="fr-FR"/>
              </w:rPr>
              <w:t>Cible</w:t>
            </w:r>
          </w:p>
        </w:tc>
      </w:tr>
      <w:tr w:rsidR="003A2650" w:rsidRPr="00614EF9" w14:paraId="7E6D768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11234DB" w14:textId="77777777" w:rsidR="003A2650" w:rsidRPr="00614EF9" w:rsidRDefault="009514E2">
            <w:pPr>
              <w:spacing w:before="20" w:after="20"/>
              <w:rPr>
                <w:b w:val="0"/>
                <w:bCs w:val="0"/>
                <w:lang w:val="fr-FR"/>
              </w:rPr>
            </w:pPr>
            <w:r w:rsidRPr="00614EF9">
              <w:rPr>
                <w:b w:val="0"/>
                <w:bCs w:val="0"/>
                <w:sz w:val="18"/>
                <w:szCs w:val="18"/>
                <w:lang w:val="fr-FR"/>
              </w:rPr>
              <w:t>Taux de notification</w:t>
            </w:r>
          </w:p>
        </w:tc>
        <w:tc>
          <w:tcPr>
            <w:tcW w:w="4900" w:type="dxa"/>
            <w:tcMar>
              <w:top w:w="40" w:type="dxa"/>
              <w:bottom w:w="40" w:type="dxa"/>
            </w:tcMar>
          </w:tcPr>
          <w:p w14:paraId="4282A7AD"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Assignataires notifiés rapportés au nombre d'assignataires impactés recensés</w:t>
            </w:r>
          </w:p>
        </w:tc>
        <w:tc>
          <w:tcPr>
            <w:tcW w:w="2338" w:type="dxa"/>
            <w:tcMar>
              <w:top w:w="40" w:type="dxa"/>
              <w:bottom w:w="40" w:type="dxa"/>
            </w:tcMar>
          </w:tcPr>
          <w:p w14:paraId="296763D4"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100 % à la fin de 2027</w:t>
            </w:r>
          </w:p>
        </w:tc>
      </w:tr>
      <w:tr w:rsidR="003A2650" w:rsidRPr="00614EF9" w14:paraId="4D571B40"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48693A4A" w14:textId="77777777" w:rsidR="003A2650" w:rsidRPr="00614EF9" w:rsidRDefault="009514E2">
            <w:pPr>
              <w:spacing w:before="20" w:after="20"/>
              <w:rPr>
                <w:b w:val="0"/>
                <w:bCs w:val="0"/>
                <w:lang w:val="fr-FR"/>
              </w:rPr>
            </w:pPr>
            <w:r w:rsidRPr="00614EF9">
              <w:rPr>
                <w:b w:val="0"/>
                <w:bCs w:val="0"/>
                <w:sz w:val="18"/>
                <w:szCs w:val="18"/>
                <w:lang w:val="fr-FR"/>
              </w:rPr>
              <w:t>Taux de libération</w:t>
            </w:r>
          </w:p>
        </w:tc>
        <w:tc>
          <w:tcPr>
            <w:tcW w:w="4900" w:type="dxa"/>
            <w:tcMar>
              <w:top w:w="40" w:type="dxa"/>
              <w:bottom w:w="40" w:type="dxa"/>
            </w:tcMar>
          </w:tcPr>
          <w:p w14:paraId="07EDFE88"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Bandes libérées et constatées rapportées au nombre de bandes inscrites au plan</w:t>
            </w:r>
          </w:p>
        </w:tc>
        <w:tc>
          <w:tcPr>
            <w:tcW w:w="2338" w:type="dxa"/>
            <w:tcMar>
              <w:top w:w="40" w:type="dxa"/>
              <w:bottom w:w="40" w:type="dxa"/>
            </w:tcMar>
          </w:tcPr>
          <w:p w14:paraId="504A4C1F"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100 % à la fin de 2029</w:t>
            </w:r>
          </w:p>
        </w:tc>
      </w:tr>
      <w:tr w:rsidR="003A2650" w:rsidRPr="00614EF9" w14:paraId="3DDA93AA"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21BD45DC" w14:textId="77777777" w:rsidR="003A2650" w:rsidRPr="00614EF9" w:rsidRDefault="009514E2">
            <w:pPr>
              <w:spacing w:before="20" w:after="20"/>
              <w:rPr>
                <w:b w:val="0"/>
                <w:bCs w:val="0"/>
                <w:lang w:val="fr-FR"/>
              </w:rPr>
            </w:pPr>
            <w:r w:rsidRPr="00614EF9">
              <w:rPr>
                <w:b w:val="0"/>
                <w:bCs w:val="0"/>
                <w:sz w:val="18"/>
                <w:szCs w:val="18"/>
                <w:lang w:val="fr-FR"/>
              </w:rPr>
              <w:t>Taux de migration des assignataires</w:t>
            </w:r>
          </w:p>
        </w:tc>
        <w:tc>
          <w:tcPr>
            <w:tcW w:w="4900" w:type="dxa"/>
            <w:tcMar>
              <w:top w:w="40" w:type="dxa"/>
              <w:bottom w:w="40" w:type="dxa"/>
            </w:tcMar>
          </w:tcPr>
          <w:p w14:paraId="752DDA11" w14:textId="46FD5318"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 xml:space="preserve">Assignataires ayant achevé </w:t>
            </w:r>
            <w:r w:rsidR="008732DB" w:rsidRPr="00614EF9">
              <w:rPr>
                <w:sz w:val="18"/>
                <w:szCs w:val="18"/>
                <w:lang w:val="fr-FR"/>
              </w:rPr>
              <w:t>leurs migrations rapportées</w:t>
            </w:r>
            <w:r w:rsidRPr="00614EF9">
              <w:rPr>
                <w:sz w:val="18"/>
                <w:szCs w:val="18"/>
                <w:lang w:val="fr-FR"/>
              </w:rPr>
              <w:t xml:space="preserve"> au nombre d'assignataires notifiés</w:t>
            </w:r>
          </w:p>
        </w:tc>
        <w:tc>
          <w:tcPr>
            <w:tcW w:w="2338" w:type="dxa"/>
            <w:tcMar>
              <w:top w:w="40" w:type="dxa"/>
              <w:bottom w:w="40" w:type="dxa"/>
            </w:tcMar>
          </w:tcPr>
          <w:p w14:paraId="7B13B383"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100 % à l'échéance de leur préavis</w:t>
            </w:r>
          </w:p>
        </w:tc>
      </w:tr>
      <w:tr w:rsidR="003A2650" w:rsidRPr="00614EF9" w14:paraId="56C0DB93"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055FA9F7" w14:textId="77777777" w:rsidR="003A2650" w:rsidRPr="00614EF9" w:rsidRDefault="009514E2">
            <w:pPr>
              <w:spacing w:before="20" w:after="20"/>
              <w:rPr>
                <w:b w:val="0"/>
                <w:bCs w:val="0"/>
                <w:lang w:val="fr-FR"/>
              </w:rPr>
            </w:pPr>
            <w:r w:rsidRPr="00614EF9">
              <w:rPr>
                <w:b w:val="0"/>
                <w:bCs w:val="0"/>
                <w:sz w:val="18"/>
                <w:szCs w:val="18"/>
                <w:lang w:val="fr-FR"/>
              </w:rPr>
              <w:t>Écart de coût</w:t>
            </w:r>
          </w:p>
        </w:tc>
        <w:tc>
          <w:tcPr>
            <w:tcW w:w="4900" w:type="dxa"/>
            <w:tcMar>
              <w:top w:w="40" w:type="dxa"/>
              <w:bottom w:w="40" w:type="dxa"/>
            </w:tcMar>
          </w:tcPr>
          <w:p w14:paraId="42082DF7"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Coûts réellement pris en charge rapportés aux coûts prévisionnels validés</w:t>
            </w:r>
          </w:p>
        </w:tc>
        <w:tc>
          <w:tcPr>
            <w:tcW w:w="2338" w:type="dxa"/>
            <w:tcMar>
              <w:top w:w="40" w:type="dxa"/>
              <w:bottom w:w="40" w:type="dxa"/>
            </w:tcMar>
          </w:tcPr>
          <w:p w14:paraId="4ED83046"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Écart inférieur à 15 %</w:t>
            </w:r>
          </w:p>
        </w:tc>
      </w:tr>
      <w:tr w:rsidR="003A2650" w:rsidRPr="00614EF9" w14:paraId="0B47BE08"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3FB470B1" w14:textId="77777777" w:rsidR="003A2650" w:rsidRPr="00614EF9" w:rsidRDefault="009514E2">
            <w:pPr>
              <w:spacing w:before="20" w:after="20"/>
              <w:rPr>
                <w:b w:val="0"/>
                <w:bCs w:val="0"/>
                <w:lang w:val="fr-FR"/>
              </w:rPr>
            </w:pPr>
            <w:r w:rsidRPr="00614EF9">
              <w:rPr>
                <w:b w:val="0"/>
                <w:bCs w:val="0"/>
                <w:sz w:val="18"/>
                <w:szCs w:val="18"/>
                <w:lang w:val="fr-FR"/>
              </w:rPr>
              <w:t>Délai moyen de migration</w:t>
            </w:r>
          </w:p>
        </w:tc>
        <w:tc>
          <w:tcPr>
            <w:tcW w:w="4900" w:type="dxa"/>
            <w:tcMar>
              <w:top w:w="40" w:type="dxa"/>
              <w:bottom w:w="40" w:type="dxa"/>
            </w:tcMar>
          </w:tcPr>
          <w:p w14:paraId="08540B6C"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Durée moyenne écoulée entre la notification et le constat de libération</w:t>
            </w:r>
          </w:p>
        </w:tc>
        <w:tc>
          <w:tcPr>
            <w:tcW w:w="2338" w:type="dxa"/>
            <w:tcMar>
              <w:top w:w="40" w:type="dxa"/>
              <w:bottom w:w="40" w:type="dxa"/>
            </w:tcMar>
          </w:tcPr>
          <w:p w14:paraId="1B46EEE6"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Conforme au préavis notifié</w:t>
            </w:r>
          </w:p>
        </w:tc>
      </w:tr>
      <w:tr w:rsidR="003A2650" w:rsidRPr="00614EF9" w14:paraId="11BE9209" w14:textId="77777777" w:rsidTr="003A2650">
        <w:trPr>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A51EF87" w14:textId="77777777" w:rsidR="003A2650" w:rsidRPr="00614EF9" w:rsidRDefault="009514E2">
            <w:pPr>
              <w:spacing w:before="20" w:after="20"/>
              <w:rPr>
                <w:b w:val="0"/>
                <w:bCs w:val="0"/>
                <w:lang w:val="fr-FR"/>
              </w:rPr>
            </w:pPr>
            <w:r w:rsidRPr="00614EF9">
              <w:rPr>
                <w:b w:val="0"/>
                <w:bCs w:val="0"/>
                <w:sz w:val="18"/>
                <w:szCs w:val="18"/>
                <w:lang w:val="fr-FR"/>
              </w:rPr>
              <w:t>Brouillages déclarés</w:t>
            </w:r>
          </w:p>
        </w:tc>
        <w:tc>
          <w:tcPr>
            <w:tcW w:w="4900" w:type="dxa"/>
            <w:tcMar>
              <w:top w:w="40" w:type="dxa"/>
              <w:bottom w:w="40" w:type="dxa"/>
            </w:tcMar>
          </w:tcPr>
          <w:p w14:paraId="145EF7D8"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Nombre de brouillages déclarés dans les bandes en transition et délai moyen de traitement</w:t>
            </w:r>
          </w:p>
        </w:tc>
        <w:tc>
          <w:tcPr>
            <w:tcW w:w="2338" w:type="dxa"/>
            <w:tcMar>
              <w:top w:w="40" w:type="dxa"/>
              <w:bottom w:w="40" w:type="dxa"/>
            </w:tcMar>
          </w:tcPr>
          <w:p w14:paraId="1A56DF3B" w14:textId="77777777" w:rsidR="003A2650" w:rsidRPr="00614EF9" w:rsidRDefault="009514E2">
            <w:pPr>
              <w:spacing w:before="20" w:after="20"/>
              <w:cnfStyle w:val="000000000000" w:firstRow="0" w:lastRow="0" w:firstColumn="0" w:lastColumn="0" w:oddVBand="0" w:evenVBand="0" w:oddHBand="0" w:evenHBand="0" w:firstRowFirstColumn="0" w:firstRowLastColumn="0" w:lastRowFirstColumn="0" w:lastRowLastColumn="0"/>
              <w:rPr>
                <w:lang w:val="fr-FR"/>
              </w:rPr>
            </w:pPr>
            <w:r w:rsidRPr="00614EF9">
              <w:rPr>
                <w:sz w:val="18"/>
                <w:szCs w:val="18"/>
                <w:lang w:val="fr-FR"/>
              </w:rPr>
              <w:t>Traitement sous trente jours</w:t>
            </w:r>
          </w:p>
        </w:tc>
      </w:tr>
      <w:tr w:rsidR="003A2650" w:rsidRPr="00614EF9" w14:paraId="3E2D2E37" w14:textId="77777777" w:rsidTr="003A26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0" w:type="dxa"/>
            <w:tcMar>
              <w:top w:w="40" w:type="dxa"/>
              <w:bottom w:w="40" w:type="dxa"/>
            </w:tcMar>
          </w:tcPr>
          <w:p w14:paraId="56F50E34" w14:textId="77777777" w:rsidR="003A2650" w:rsidRPr="00614EF9" w:rsidRDefault="009514E2">
            <w:pPr>
              <w:spacing w:before="20" w:after="20"/>
              <w:rPr>
                <w:b w:val="0"/>
                <w:bCs w:val="0"/>
                <w:lang w:val="fr-FR"/>
              </w:rPr>
            </w:pPr>
            <w:r w:rsidRPr="00614EF9">
              <w:rPr>
                <w:b w:val="0"/>
                <w:bCs w:val="0"/>
                <w:sz w:val="18"/>
                <w:szCs w:val="18"/>
                <w:lang w:val="fr-FR"/>
              </w:rPr>
              <w:t>Continuité de service</w:t>
            </w:r>
          </w:p>
        </w:tc>
        <w:tc>
          <w:tcPr>
            <w:tcW w:w="4900" w:type="dxa"/>
            <w:tcMar>
              <w:top w:w="40" w:type="dxa"/>
              <w:bottom w:w="40" w:type="dxa"/>
            </w:tcMar>
          </w:tcPr>
          <w:p w14:paraId="122EBDCE"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Nombre et durée des interruptions de service imputables aux opérations de migration</w:t>
            </w:r>
          </w:p>
        </w:tc>
        <w:tc>
          <w:tcPr>
            <w:tcW w:w="2338" w:type="dxa"/>
            <w:tcMar>
              <w:top w:w="40" w:type="dxa"/>
              <w:bottom w:w="40" w:type="dxa"/>
            </w:tcMar>
          </w:tcPr>
          <w:p w14:paraId="2634444E" w14:textId="77777777" w:rsidR="003A2650" w:rsidRPr="00614EF9" w:rsidRDefault="009514E2">
            <w:pPr>
              <w:spacing w:before="20" w:after="20"/>
              <w:cnfStyle w:val="000000100000" w:firstRow="0" w:lastRow="0" w:firstColumn="0" w:lastColumn="0" w:oddVBand="0" w:evenVBand="0" w:oddHBand="1" w:evenHBand="0" w:firstRowFirstColumn="0" w:firstRowLastColumn="0" w:lastRowFirstColumn="0" w:lastRowLastColumn="0"/>
              <w:rPr>
                <w:lang w:val="fr-FR"/>
              </w:rPr>
            </w:pPr>
            <w:r w:rsidRPr="00614EF9">
              <w:rPr>
                <w:sz w:val="18"/>
                <w:szCs w:val="18"/>
                <w:lang w:val="fr-FR"/>
              </w:rPr>
              <w:t>Aucune interruption non programmée</w:t>
            </w:r>
          </w:p>
        </w:tc>
      </w:tr>
    </w:tbl>
    <w:p w14:paraId="6652D190" w14:textId="77777777" w:rsidR="0066730D" w:rsidRPr="00614EF9" w:rsidRDefault="0066730D" w:rsidP="0066730D">
      <w:pPr>
        <w:pStyle w:val="Lgende"/>
        <w:spacing w:before="120" w:after="120"/>
        <w:rPr>
          <w:color w:val="000000" w:themeColor="text1"/>
          <w:lang w:val="fr-FR"/>
        </w:rPr>
      </w:pPr>
      <w:bookmarkStart w:id="260" w:name="_Toc240614538"/>
      <w:bookmarkStart w:id="261" w:name="_Toc232062322"/>
      <w:bookmarkStart w:id="262" w:name="_Toc236636399"/>
      <w:r w:rsidRPr="00614EF9">
        <w:rPr>
          <w:color w:val="000000" w:themeColor="text1"/>
          <w:lang w:val="fr-FR"/>
        </w:rPr>
        <w:t xml:space="preserve">Tableau </w:t>
      </w:r>
      <w:proofErr w:type="gramStart"/>
      <w:r w:rsidRPr="00614EF9">
        <w:rPr>
          <w:color w:val="000000" w:themeColor="text1"/>
          <w:lang w:val="fr-FR"/>
        </w:rPr>
        <w:t>24:</w:t>
      </w:r>
      <w:proofErr w:type="gramEnd"/>
      <w:r w:rsidRPr="00614EF9">
        <w:rPr>
          <w:color w:val="000000" w:themeColor="text1"/>
          <w:lang w:val="fr-FR"/>
        </w:rPr>
        <w:t xml:space="preserve"> Indicateurs de suivi de la mise en œuvre du plan de transition</w:t>
      </w:r>
      <w:r w:rsidRPr="00614EF9">
        <w:rPr>
          <w:color w:val="000000" w:themeColor="text1"/>
          <w:lang w:val="fr-FR"/>
        </w:rPr>
        <w:fldChar w:fldCharType="begin"/>
      </w:r>
      <w:r w:rsidRPr="00614EF9">
        <w:rPr>
          <w:color w:val="000000" w:themeColor="text1"/>
          <w:lang w:val="fr-FR"/>
        </w:rPr>
        <w:instrText xml:space="preserve"> SEQ Tableau \* ARABIC </w:instrText>
      </w:r>
      <w:r w:rsidRPr="00614EF9">
        <w:rPr>
          <w:color w:val="000000" w:themeColor="text1"/>
          <w:lang w:val="fr-FR"/>
        </w:rPr>
        <w:fldChar w:fldCharType="separate"/>
      </w:r>
      <w:r w:rsidR="007A7843" w:rsidRPr="00614EF9">
        <w:rPr>
          <w:noProof/>
          <w:color w:val="000000" w:themeColor="text1"/>
          <w:lang w:val="fr-FR"/>
        </w:rPr>
        <w:t>24</w:t>
      </w:r>
      <w:bookmarkEnd w:id="260"/>
      <w:r w:rsidRPr="00614EF9">
        <w:rPr>
          <w:color w:val="000000" w:themeColor="text1"/>
          <w:lang w:val="fr-FR"/>
        </w:rPr>
        <w:fldChar w:fldCharType="end"/>
      </w:r>
    </w:p>
    <w:p w14:paraId="123E7C7F" w14:textId="0B56F6EA" w:rsidR="007C757E" w:rsidRPr="00614EF9" w:rsidRDefault="008F1C64" w:rsidP="007D4BE4">
      <w:pPr>
        <w:pStyle w:val="Titre2"/>
        <w:rPr>
          <w:lang w:val="fr-FR"/>
        </w:rPr>
      </w:pPr>
      <w:bookmarkStart w:id="263" w:name="_Toc240614452"/>
      <w:bookmarkEnd w:id="261"/>
      <w:bookmarkEnd w:id="262"/>
      <w:r w:rsidRPr="00614EF9">
        <w:rPr>
          <w:lang w:val="fr-FR"/>
        </w:rPr>
        <w:t>Transparence</w:t>
      </w:r>
      <w:bookmarkEnd w:id="263"/>
    </w:p>
    <w:p w14:paraId="023ADF4B" w14:textId="77777777" w:rsidR="00374048" w:rsidRPr="00614EF9" w:rsidRDefault="009514E2" w:rsidP="0066730D">
      <w:pPr>
        <w:pStyle w:val="Titre3"/>
        <w:rPr>
          <w:lang w:val="fr-FR"/>
        </w:rPr>
      </w:pPr>
      <w:bookmarkStart w:id="264" w:name="_Toc240614453"/>
      <w:r w:rsidRPr="00614EF9">
        <w:rPr>
          <w:lang w:val="fr-FR"/>
        </w:rPr>
        <w:t>Tableau de bord trimestriel</w:t>
      </w:r>
      <w:bookmarkEnd w:id="264"/>
    </w:p>
    <w:p w14:paraId="2794FAD8" w14:textId="77777777" w:rsidR="003A2650" w:rsidRPr="00614EF9" w:rsidRDefault="009514E2">
      <w:pPr>
        <w:spacing w:before="60"/>
        <w:rPr>
          <w:lang w:val="fr-FR"/>
        </w:rPr>
      </w:pPr>
      <w:r w:rsidRPr="00614EF9">
        <w:rPr>
          <w:lang w:val="fr-FR"/>
        </w:rPr>
        <w:t>La Direction des Radiocommunications établit, à la fin de chaque trimestre, un tableau de bord présentant l'état d'avancement par volet, la valeur des indicateurs, l'évolution du registre des risques et les décisions requises. Ce tableau est soumis au comité de pilotage.</w:t>
      </w:r>
    </w:p>
    <w:p w14:paraId="1967E599" w14:textId="77777777" w:rsidR="00374048" w:rsidRPr="00614EF9" w:rsidRDefault="009514E2" w:rsidP="0066730D">
      <w:pPr>
        <w:pStyle w:val="Titre3"/>
        <w:rPr>
          <w:lang w:val="fr-FR"/>
        </w:rPr>
      </w:pPr>
      <w:bookmarkStart w:id="265" w:name="_Toc240614454"/>
      <w:r w:rsidRPr="00614EF9">
        <w:rPr>
          <w:lang w:val="fr-FR"/>
        </w:rPr>
        <w:lastRenderedPageBreak/>
        <w:t>Rapport annuel d'exécution</w:t>
      </w:r>
      <w:bookmarkEnd w:id="265"/>
    </w:p>
    <w:p w14:paraId="41DFE0BE" w14:textId="77777777" w:rsidR="003A2650" w:rsidRPr="00614EF9" w:rsidRDefault="009514E2">
      <w:pPr>
        <w:spacing w:before="60"/>
        <w:rPr>
          <w:lang w:val="fr-FR"/>
        </w:rPr>
      </w:pPr>
      <w:r w:rsidRPr="00614EF9">
        <w:rPr>
          <w:lang w:val="fr-FR"/>
        </w:rPr>
        <w:t>Un rapport annuel retrace les opérations conduites, les bandes libérées et réallouées, l'emploi des concours financiers et les écarts constatés au regard du chronogramme. Il comporte, le cas échéant, les propositions d'ajustement du plan.</w:t>
      </w:r>
    </w:p>
    <w:p w14:paraId="44BDC1C6" w14:textId="77777777" w:rsidR="00374048" w:rsidRPr="00614EF9" w:rsidRDefault="009514E2" w:rsidP="0066730D">
      <w:pPr>
        <w:pStyle w:val="Titre3"/>
        <w:rPr>
          <w:lang w:val="fr-FR"/>
        </w:rPr>
      </w:pPr>
      <w:bookmarkStart w:id="266" w:name="_Toc240614455"/>
      <w:r w:rsidRPr="00614EF9">
        <w:rPr>
          <w:lang w:val="fr-FR"/>
        </w:rPr>
        <w:t>Information des parties prenantes</w:t>
      </w:r>
      <w:bookmarkEnd w:id="266"/>
    </w:p>
    <w:p w14:paraId="3EBFA039" w14:textId="77777777" w:rsidR="003A2650" w:rsidRPr="00614EF9" w:rsidRDefault="009514E2">
      <w:pPr>
        <w:spacing w:before="60"/>
        <w:rPr>
          <w:lang w:val="fr-FR"/>
        </w:rPr>
      </w:pPr>
      <w:r w:rsidRPr="00614EF9">
        <w:rPr>
          <w:lang w:val="fr-FR"/>
        </w:rPr>
        <w:t>Une synthèse du rapport annuel est publiée sur le site Internet de l'Autorité. Les assignataires impactés sont informés individuellement des décisions les concernant. L'Observatoire National de la Communication est destinataire des éléments relatifs aux volets intéressant la radiodiffusion.</w:t>
      </w:r>
    </w:p>
    <w:p w14:paraId="587275A2" w14:textId="77777777" w:rsidR="00374048" w:rsidRPr="00614EF9" w:rsidRDefault="009514E2" w:rsidP="00BC12C5">
      <w:pPr>
        <w:pStyle w:val="Titre3"/>
        <w:rPr>
          <w:lang w:val="fr-FR"/>
        </w:rPr>
      </w:pPr>
      <w:bookmarkStart w:id="267" w:name="_Toc240614456"/>
      <w:r w:rsidRPr="00614EF9">
        <w:rPr>
          <w:lang w:val="fr-FR"/>
        </w:rPr>
        <w:t>Registre du plan de transition</w:t>
      </w:r>
      <w:bookmarkEnd w:id="267"/>
    </w:p>
    <w:p w14:paraId="3A17BA45" w14:textId="77777777" w:rsidR="003A2650" w:rsidRPr="00614EF9" w:rsidRDefault="009514E2">
      <w:pPr>
        <w:spacing w:before="60"/>
        <w:rPr>
          <w:lang w:val="fr-FR"/>
        </w:rPr>
      </w:pPr>
      <w:r w:rsidRPr="00614EF9">
        <w:rPr>
          <w:lang w:val="fr-FR"/>
        </w:rPr>
        <w:t>Un registre consigne, pour chaque bande, l'état d'avancement, les notifications émises, les constats de libération établis et les décisions d'attribution prises. Il constitue la référence opposable en cas de contestation.</w:t>
      </w:r>
    </w:p>
    <w:p w14:paraId="3B51AA8E" w14:textId="77777777" w:rsidR="007C757E" w:rsidRPr="00614EF9" w:rsidRDefault="009514E2" w:rsidP="007D4BE4">
      <w:pPr>
        <w:pStyle w:val="Titre2"/>
        <w:rPr>
          <w:lang w:val="fr-FR"/>
        </w:rPr>
      </w:pPr>
      <w:bookmarkStart w:id="268" w:name="_Toc232062323"/>
      <w:bookmarkStart w:id="269" w:name="_Toc236636400"/>
      <w:bookmarkStart w:id="270" w:name="_Toc240614457"/>
      <w:r w:rsidRPr="00614EF9">
        <w:rPr>
          <w:lang w:val="fr-FR"/>
        </w:rPr>
        <w:t>Révision du plan</w:t>
      </w:r>
      <w:bookmarkEnd w:id="268"/>
      <w:bookmarkEnd w:id="269"/>
      <w:bookmarkEnd w:id="270"/>
    </w:p>
    <w:p w14:paraId="4708D9FC" w14:textId="77777777" w:rsidR="003A2650" w:rsidRPr="00614EF9" w:rsidRDefault="009514E2">
      <w:pPr>
        <w:spacing w:before="60"/>
        <w:rPr>
          <w:lang w:val="fr-FR"/>
        </w:rPr>
      </w:pPr>
      <w:r w:rsidRPr="00614EF9">
        <w:rPr>
          <w:lang w:val="fr-FR"/>
        </w:rPr>
        <w:t>Le plan fait l'objet d'une révision annuelle, arrêtée par le comité de pilotage au vu du rapport d'exécution. La révision peut porter sur le chronogramme, sur les bandes de repli retenues, sur les durées de préavis et sur les modalités de financement.</w:t>
      </w:r>
    </w:p>
    <w:p w14:paraId="399F6E91" w14:textId="77777777" w:rsidR="003A2650" w:rsidRPr="00614EF9" w:rsidRDefault="009514E2">
      <w:pPr>
        <w:spacing w:before="60"/>
        <w:rPr>
          <w:lang w:val="fr-FR"/>
        </w:rPr>
      </w:pPr>
      <w:r w:rsidRPr="00614EF9">
        <w:rPr>
          <w:lang w:val="fr-FR"/>
        </w:rPr>
        <w:t>Une révision peut être engagée à tout moment en cas de survenance d'un événement substantiel, notamment une décision d'une Conférence mondiale des radiocommunications modifiant les attributions, une évolution significative de la disponibilité industrielle des équipements, l'échec d'une procédure de coordination frontalière ou une défaillance du mécanisme de financement.</w:t>
      </w:r>
    </w:p>
    <w:p w14:paraId="3461783C" w14:textId="77777777" w:rsidR="003A2650" w:rsidRPr="00614EF9" w:rsidRDefault="009514E2">
      <w:pPr>
        <w:spacing w:before="60"/>
        <w:rPr>
          <w:lang w:val="fr-FR"/>
        </w:rPr>
      </w:pPr>
      <w:r w:rsidRPr="00614EF9">
        <w:rPr>
          <w:lang w:val="fr-FR"/>
        </w:rPr>
        <w:t>Toute révision substantielle est précédée d'une consultation des parties prenantes concernées et donne lieu à publication.</w:t>
      </w:r>
    </w:p>
    <w:p w14:paraId="1A4E5B2F" w14:textId="77777777" w:rsidR="00AB602B" w:rsidRPr="00614EF9" w:rsidRDefault="00AB602B" w:rsidP="00AB602B">
      <w:pPr>
        <w:rPr>
          <w:lang w:val="fr-FR"/>
        </w:rPr>
      </w:pPr>
      <w:r w:rsidRPr="00614EF9">
        <w:rPr>
          <w:lang w:val="fr-FR"/>
        </w:rPr>
        <w:br w:type="page"/>
      </w:r>
    </w:p>
    <w:p w14:paraId="4B0CD531" w14:textId="77777777" w:rsidR="007C757E" w:rsidRPr="00614EF9" w:rsidRDefault="009514E2">
      <w:pPr>
        <w:pStyle w:val="Titre1"/>
        <w:rPr>
          <w:lang w:val="fr-FR"/>
        </w:rPr>
      </w:pPr>
      <w:bookmarkStart w:id="271" w:name="_Toc232062324"/>
      <w:bookmarkStart w:id="272" w:name="_Toc236636401"/>
      <w:bookmarkStart w:id="273" w:name="_Toc240614458"/>
      <w:r w:rsidRPr="00614EF9">
        <w:rPr>
          <w:lang w:val="fr-FR"/>
        </w:rPr>
        <w:lastRenderedPageBreak/>
        <w:t>Conclusion</w:t>
      </w:r>
      <w:bookmarkEnd w:id="271"/>
      <w:bookmarkEnd w:id="272"/>
      <w:bookmarkEnd w:id="273"/>
    </w:p>
    <w:p w14:paraId="465B9EB4" w14:textId="4A99ECF7" w:rsidR="003A2650" w:rsidRPr="00614EF9" w:rsidRDefault="009514E2">
      <w:pPr>
        <w:spacing w:before="60"/>
        <w:rPr>
          <w:lang w:val="fr-FR"/>
        </w:rPr>
      </w:pPr>
      <w:r w:rsidRPr="00614EF9">
        <w:rPr>
          <w:lang w:val="fr-FR"/>
        </w:rPr>
        <w:t>Le présent plan de transition organise, sur la période 2027-2029, la libération et la réallocation des bandes de fréquences dont l’attribution a été modifiée par le Plan national d’attribution des fréquences</w:t>
      </w:r>
      <w:r w:rsidR="008F1C64" w:rsidRPr="00614EF9">
        <w:rPr>
          <w:lang w:val="fr-FR"/>
        </w:rPr>
        <w:t xml:space="preserve"> (PNAF)</w:t>
      </w:r>
      <w:r w:rsidRPr="00614EF9">
        <w:rPr>
          <w:lang w:val="fr-FR"/>
        </w:rPr>
        <w:t xml:space="preserve">, édition 2025. Il couvre quatre volets : les bandes 2,4 et 5 GHz, la bande 600 MHz, la bande 700 MHz et la bande C. </w:t>
      </w:r>
    </w:p>
    <w:p w14:paraId="1FA012EF" w14:textId="77777777" w:rsidR="008F1C64" w:rsidRPr="00614EF9" w:rsidRDefault="009514E2">
      <w:pPr>
        <w:spacing w:before="60"/>
        <w:rPr>
          <w:lang w:val="fr-FR"/>
        </w:rPr>
      </w:pPr>
      <w:r w:rsidRPr="00614EF9">
        <w:rPr>
          <w:lang w:val="fr-FR"/>
        </w:rPr>
        <w:t>Le diagnostic fait apparaître trois constats déterminants</w:t>
      </w:r>
      <w:r w:rsidR="008F1C64" w:rsidRPr="00614EF9">
        <w:rPr>
          <w:lang w:val="fr-FR"/>
        </w:rPr>
        <w:t> :</w:t>
      </w:r>
    </w:p>
    <w:p w14:paraId="77B4F406" w14:textId="77777777" w:rsidR="008F1C64"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D’abord, l’occupation résiduelle de la bande 700 MHz est intégralement analogique : son extinction libère la bande sans migration d’équipements. Cette voie constitue le scénario de référence et place ce volet en tête du séquencement, sous la réserve expresse du rétablissement de la continuité de service dans les quatre localités dépourvues d’émetteur numérique.</w:t>
      </w:r>
    </w:p>
    <w:p w14:paraId="1FBD4C33" w14:textId="77777777" w:rsidR="008F1C64"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Ensuite, les sites de radiodiffusion sonore sont systématiquement </w:t>
      </w:r>
      <w:proofErr w:type="spellStart"/>
      <w:r w:rsidRPr="00614EF9">
        <w:rPr>
          <w:rFonts w:ascii="Century Gothic" w:hAnsi="Century Gothic"/>
          <w:sz w:val="24"/>
          <w:szCs w:val="24"/>
          <w:lang w:val="fr-FR"/>
        </w:rPr>
        <w:t>co</w:t>
      </w:r>
      <w:proofErr w:type="spellEnd"/>
      <w:r w:rsidRPr="00614EF9">
        <w:rPr>
          <w:rFonts w:ascii="Century Gothic" w:hAnsi="Century Gothic"/>
          <w:sz w:val="24"/>
          <w:szCs w:val="24"/>
          <w:lang w:val="fr-FR"/>
        </w:rPr>
        <w:t xml:space="preserve">-implantés avec des infrastructures de télécommunications et la plupart ne sont pas filtrés : le risque d’intermodulation vers la liaison montante du service mobile appelle un traitement prioritaire. </w:t>
      </w:r>
    </w:p>
    <w:p w14:paraId="43E43A6E" w14:textId="74028536" w:rsidR="003A2650"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Enfin, la bande 470-694 MHz reste allouée en Région 1 au seul service de radiodiffusion à titre primaire et le Niger ne bénéficie d’aucune note de renvoi lui ouvrant la portion 614-694 MHz : le volet 600 MHz ne peut être exécuté sur la période du plan sans exposer les futurs réseaux mobiles à des brouillages sans recours, sur la frange la plus peuplée du territoire.</w:t>
      </w:r>
    </w:p>
    <w:p w14:paraId="17066CA9" w14:textId="77777777" w:rsidR="008F1C64" w:rsidRPr="00614EF9" w:rsidRDefault="009514E2">
      <w:pPr>
        <w:spacing w:before="60"/>
        <w:rPr>
          <w:lang w:val="fr-FR"/>
        </w:rPr>
      </w:pPr>
      <w:r w:rsidRPr="00614EF9">
        <w:rPr>
          <w:lang w:val="fr-FR"/>
        </w:rPr>
        <w:t>Trois conditions de réussite doivent être réunies</w:t>
      </w:r>
      <w:r w:rsidR="008F1C64" w:rsidRPr="00614EF9">
        <w:rPr>
          <w:lang w:val="fr-FR"/>
        </w:rPr>
        <w:t> :</w:t>
      </w:r>
    </w:p>
    <w:p w14:paraId="34868A2D" w14:textId="16073CB0" w:rsidR="008F1C64"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La première tient à la complétude du diagnostic : l’inventaire des sites d’émission générant les produits d’intermodulation reste à établir, les stations terriennes de </w:t>
      </w:r>
      <w:r w:rsidR="008732DB" w:rsidRPr="00614EF9">
        <w:rPr>
          <w:rFonts w:ascii="Century Gothic" w:hAnsi="Century Gothic"/>
          <w:sz w:val="24"/>
          <w:szCs w:val="24"/>
          <w:lang w:val="fr-FR"/>
        </w:rPr>
        <w:t xml:space="preserve">CELTEL </w:t>
      </w:r>
      <w:r w:rsidR="008732DB">
        <w:rPr>
          <w:rFonts w:ascii="Century Gothic" w:hAnsi="Century Gothic"/>
          <w:sz w:val="24"/>
          <w:szCs w:val="24"/>
          <w:lang w:val="fr-FR"/>
        </w:rPr>
        <w:t xml:space="preserve">NIGER </w:t>
      </w:r>
      <w:r w:rsidRPr="00614EF9">
        <w:rPr>
          <w:rFonts w:ascii="Century Gothic" w:hAnsi="Century Gothic"/>
          <w:sz w:val="24"/>
          <w:szCs w:val="24"/>
          <w:lang w:val="fr-FR"/>
        </w:rPr>
        <w:t xml:space="preserve">et de TDN ne sont pas encore géolocalisées et </w:t>
      </w:r>
      <w:r w:rsidR="008732DB" w:rsidRPr="00614EF9">
        <w:rPr>
          <w:rFonts w:ascii="Century Gothic" w:hAnsi="Century Gothic"/>
          <w:sz w:val="24"/>
          <w:szCs w:val="24"/>
          <w:lang w:val="fr-FR"/>
        </w:rPr>
        <w:t>T</w:t>
      </w:r>
      <w:r w:rsidR="008732DB">
        <w:rPr>
          <w:rFonts w:ascii="Century Gothic" w:hAnsi="Century Gothic"/>
          <w:sz w:val="24"/>
          <w:szCs w:val="24"/>
          <w:lang w:val="fr-FR"/>
        </w:rPr>
        <w:t>É</w:t>
      </w:r>
      <w:r w:rsidR="008732DB" w:rsidRPr="00614EF9">
        <w:rPr>
          <w:rFonts w:ascii="Century Gothic" w:hAnsi="Century Gothic"/>
          <w:sz w:val="24"/>
          <w:szCs w:val="24"/>
          <w:lang w:val="fr-FR"/>
        </w:rPr>
        <w:t>L</w:t>
      </w:r>
      <w:r w:rsidR="008732DB">
        <w:rPr>
          <w:rFonts w:ascii="Century Gothic" w:hAnsi="Century Gothic"/>
          <w:sz w:val="24"/>
          <w:szCs w:val="24"/>
          <w:lang w:val="fr-FR"/>
        </w:rPr>
        <w:t>É</w:t>
      </w:r>
      <w:r w:rsidR="008732DB" w:rsidRPr="00614EF9">
        <w:rPr>
          <w:rFonts w:ascii="Century Gothic" w:hAnsi="Century Gothic"/>
          <w:sz w:val="24"/>
          <w:szCs w:val="24"/>
          <w:lang w:val="fr-FR"/>
        </w:rPr>
        <w:t xml:space="preserve">STAR </w:t>
      </w:r>
      <w:r w:rsidRPr="00614EF9">
        <w:rPr>
          <w:rFonts w:ascii="Century Gothic" w:hAnsi="Century Gothic"/>
          <w:sz w:val="24"/>
          <w:szCs w:val="24"/>
          <w:lang w:val="fr-FR"/>
        </w:rPr>
        <w:t xml:space="preserve">n’a pas contribué. </w:t>
      </w:r>
    </w:p>
    <w:p w14:paraId="5E27790F" w14:textId="77777777" w:rsidR="008F1C64"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La deuxième tient à la consolidation des données financières : les coûts déclarés ne couvrent à ce jour que la radiodiffusion télévisuelle et plusieurs postes restent non chiffrés, de sorte qu’aucune décision d’indemnisation ne peut encore être fondée. </w:t>
      </w:r>
    </w:p>
    <w:p w14:paraId="25A25C0A" w14:textId="286FA55C" w:rsidR="003A2650"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La troisième tient à la mise en place effective du mécanisme de financement, dont dépend la capacité des assignataires à respecter les échéances notifiées.</w:t>
      </w:r>
    </w:p>
    <w:p w14:paraId="6A897ACB" w14:textId="77777777" w:rsidR="008F1C64" w:rsidRPr="00614EF9" w:rsidRDefault="009514E2">
      <w:pPr>
        <w:spacing w:before="60"/>
        <w:rPr>
          <w:lang w:val="fr-FR"/>
        </w:rPr>
      </w:pPr>
      <w:r w:rsidRPr="00614EF9">
        <w:rPr>
          <w:lang w:val="fr-FR"/>
        </w:rPr>
        <w:t>Le plan retient en conséquence une stratégie différenciée</w:t>
      </w:r>
      <w:r w:rsidR="008F1C64" w:rsidRPr="00614EF9">
        <w:rPr>
          <w:lang w:val="fr-FR"/>
        </w:rPr>
        <w:t> :</w:t>
      </w:r>
    </w:p>
    <w:p w14:paraId="3727B68D" w14:textId="77777777" w:rsidR="008F1C64"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 xml:space="preserve">Les volets 700 MHz, 3,5 GHz et 5 925-6 425 MHz, dont le fondement international est acquis et l’écosystème mature, sont exécutés sur la période 2027-2029. </w:t>
      </w:r>
    </w:p>
    <w:p w14:paraId="60B1A972" w14:textId="6433ED69" w:rsidR="00733052" w:rsidRPr="00614EF9" w:rsidRDefault="009514E2" w:rsidP="008F1C64">
      <w:pPr>
        <w:pStyle w:val="Paragraphedeliste"/>
        <w:numPr>
          <w:ilvl w:val="0"/>
          <w:numId w:val="15"/>
        </w:numPr>
        <w:spacing w:before="40" w:after="40"/>
        <w:ind w:left="714" w:hanging="357"/>
        <w:jc w:val="both"/>
        <w:rPr>
          <w:rFonts w:ascii="Century Gothic" w:hAnsi="Century Gothic"/>
          <w:sz w:val="24"/>
          <w:szCs w:val="24"/>
          <w:lang w:val="fr-FR"/>
        </w:rPr>
      </w:pPr>
      <w:r w:rsidRPr="00614EF9">
        <w:rPr>
          <w:rFonts w:ascii="Century Gothic" w:hAnsi="Century Gothic"/>
          <w:sz w:val="24"/>
          <w:szCs w:val="24"/>
          <w:lang w:val="fr-FR"/>
        </w:rPr>
        <w:t>Le volet 600 MHz est converti en une trajectoire préparatoire, orientée vers les Conférences mondiales des radiocommunications de 2027 et de 2031.</w:t>
      </w:r>
    </w:p>
    <w:p w14:paraId="179B3AC6" w14:textId="29C50CEE" w:rsidR="007C757E" w:rsidRPr="00614EF9" w:rsidRDefault="00733052" w:rsidP="008F1C64">
      <w:pPr>
        <w:spacing w:before="60"/>
        <w:rPr>
          <w:lang w:val="fr-FR"/>
        </w:rPr>
      </w:pPr>
      <w:r w:rsidRPr="00614EF9">
        <w:rPr>
          <w:lang w:val="fr-FR"/>
        </w:rPr>
        <w:t>Conduite par le comité de pilotage et assortie d’un suivi trimestriel, la mise en œuvre du plan doit mettre à la disposition des services prioritaires des ressources spectrales déterminantes pour la couverture du territoire et le développement des réseaux à très haut débit, tout en préservant la continuité des services rendus aux usagers.</w:t>
      </w:r>
      <w:r w:rsidRPr="00614EF9">
        <w:rPr>
          <w:lang w:val="fr-FR"/>
        </w:rPr>
        <w:br w:type="page"/>
      </w:r>
    </w:p>
    <w:p w14:paraId="392A7321" w14:textId="77777777" w:rsidR="000272B6" w:rsidRPr="00614EF9" w:rsidRDefault="000272B6">
      <w:pPr>
        <w:pStyle w:val="Titre1"/>
        <w:rPr>
          <w:lang w:val="fr-FR"/>
        </w:rPr>
      </w:pPr>
      <w:bookmarkStart w:id="274" w:name="_Toc240614459"/>
      <w:bookmarkStart w:id="275" w:name="_Toc232062325"/>
      <w:bookmarkStart w:id="276" w:name="_Toc236636402"/>
      <w:r w:rsidRPr="00614EF9">
        <w:rPr>
          <w:lang w:val="fr-FR"/>
        </w:rPr>
        <w:lastRenderedPageBreak/>
        <w:t>Annexes</w:t>
      </w:r>
      <w:bookmarkEnd w:id="274"/>
    </w:p>
    <w:p w14:paraId="2C8F917B" w14:textId="77777777" w:rsidR="007C757E" w:rsidRPr="00614EF9" w:rsidRDefault="009514E2" w:rsidP="007D4BE4">
      <w:pPr>
        <w:pStyle w:val="Titre2"/>
        <w:rPr>
          <w:lang w:val="fr-FR"/>
        </w:rPr>
      </w:pPr>
      <w:bookmarkStart w:id="277" w:name="_Toc240614460"/>
      <w:r w:rsidRPr="00614EF9">
        <w:rPr>
          <w:lang w:val="fr-FR"/>
        </w:rPr>
        <w:t>Annexe A – Tableau des bandes ayant changé d’attribution</w:t>
      </w:r>
      <w:bookmarkEnd w:id="275"/>
      <w:bookmarkEnd w:id="276"/>
      <w:bookmarkEnd w:id="277"/>
    </w:p>
    <w:p w14:paraId="1ACCE305" w14:textId="77777777" w:rsidR="003A2650" w:rsidRPr="00614EF9" w:rsidRDefault="009514E2">
      <w:pPr>
        <w:spacing w:before="60"/>
        <w:rPr>
          <w:lang w:val="fr-FR"/>
        </w:rPr>
      </w:pPr>
      <w:r w:rsidRPr="00614EF9">
        <w:rPr>
          <w:lang w:val="fr-FR"/>
        </w:rPr>
        <w:t>Le tableau ci-après récapitule, pour chaque bande inscrite au plan, l'attribution antérieure, la nouvelle attribution résultant du PNAF, les assignataires impactés recensés à ce jour, la ou les bandes de repli retenues et l'échéance de libération prévue. Les assignataires mentionnés procèdent du dépouillement des contributions ; ce recensement sera complété au fur et à mesure de l'enregistrement des contributions attendues.</w:t>
      </w:r>
    </w:p>
    <w:tbl>
      <w:tblPr>
        <w:tblStyle w:val="TableauGrille4-Accentuation3"/>
        <w:tblW w:w="10060" w:type="dxa"/>
        <w:jc w:val="center"/>
        <w:tblLayout w:type="fixed"/>
        <w:tblLook w:val="04A0" w:firstRow="1" w:lastRow="0" w:firstColumn="1" w:lastColumn="0" w:noHBand="0" w:noVBand="1"/>
      </w:tblPr>
      <w:tblGrid>
        <w:gridCol w:w="1366"/>
        <w:gridCol w:w="2031"/>
        <w:gridCol w:w="1701"/>
        <w:gridCol w:w="1843"/>
        <w:gridCol w:w="1701"/>
        <w:gridCol w:w="1418"/>
      </w:tblGrid>
      <w:tr w:rsidR="007C757E" w:rsidRPr="00614EF9" w14:paraId="1964D365" w14:textId="77777777" w:rsidTr="007F0A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dxa"/>
          </w:tcPr>
          <w:p w14:paraId="412DE74C" w14:textId="77777777" w:rsidR="007C757E" w:rsidRPr="00614EF9" w:rsidRDefault="009514E2">
            <w:pPr>
              <w:rPr>
                <w:sz w:val="18"/>
                <w:szCs w:val="18"/>
                <w:lang w:val="fr-FR"/>
              </w:rPr>
            </w:pPr>
            <w:r w:rsidRPr="00614EF9">
              <w:rPr>
                <w:sz w:val="18"/>
                <w:szCs w:val="18"/>
                <w:lang w:val="fr-FR"/>
              </w:rPr>
              <w:t>Bande de fréquences</w:t>
            </w:r>
          </w:p>
        </w:tc>
        <w:tc>
          <w:tcPr>
            <w:tcW w:w="2031" w:type="dxa"/>
          </w:tcPr>
          <w:p w14:paraId="190F1618" w14:textId="77777777" w:rsidR="007C757E" w:rsidRPr="00614EF9" w:rsidRDefault="009514E2">
            <w:pPr>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Attribution/utilisation antérieure</w:t>
            </w:r>
          </w:p>
        </w:tc>
        <w:tc>
          <w:tcPr>
            <w:tcW w:w="1701" w:type="dxa"/>
          </w:tcPr>
          <w:p w14:paraId="72CF5522" w14:textId="77777777" w:rsidR="007C757E" w:rsidRPr="00614EF9" w:rsidRDefault="009514E2">
            <w:pPr>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Nouvelle attribution (PNAF)</w:t>
            </w:r>
          </w:p>
        </w:tc>
        <w:tc>
          <w:tcPr>
            <w:tcW w:w="1843" w:type="dxa"/>
          </w:tcPr>
          <w:p w14:paraId="1701DEF5" w14:textId="77777777" w:rsidR="007C757E" w:rsidRPr="00614EF9" w:rsidRDefault="009514E2">
            <w:pPr>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Assignataires impactés</w:t>
            </w:r>
          </w:p>
        </w:tc>
        <w:tc>
          <w:tcPr>
            <w:tcW w:w="1701" w:type="dxa"/>
          </w:tcPr>
          <w:p w14:paraId="3DD31C2B" w14:textId="77777777" w:rsidR="007C757E" w:rsidRPr="00614EF9" w:rsidRDefault="009514E2">
            <w:pPr>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Bande(s) de repli</w:t>
            </w:r>
          </w:p>
        </w:tc>
        <w:tc>
          <w:tcPr>
            <w:tcW w:w="1418" w:type="dxa"/>
          </w:tcPr>
          <w:p w14:paraId="66EC7C2E" w14:textId="77777777" w:rsidR="007C757E" w:rsidRPr="00614EF9" w:rsidRDefault="009514E2">
            <w:pPr>
              <w:cnfStyle w:val="100000000000" w:firstRow="1"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Échéance de libération</w:t>
            </w:r>
          </w:p>
        </w:tc>
      </w:tr>
      <w:tr w:rsidR="007C757E" w:rsidRPr="00614EF9" w14:paraId="7E7002E5" w14:textId="77777777" w:rsidTr="007F0A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dxa"/>
          </w:tcPr>
          <w:p w14:paraId="4C0E85A2" w14:textId="77777777" w:rsidR="003A2650" w:rsidRPr="00614EF9" w:rsidRDefault="009514E2">
            <w:pPr>
              <w:rPr>
                <w:sz w:val="18"/>
                <w:szCs w:val="18"/>
                <w:lang w:val="fr-FR"/>
              </w:rPr>
            </w:pPr>
            <w:r w:rsidRPr="00614EF9">
              <w:rPr>
                <w:sz w:val="18"/>
                <w:szCs w:val="18"/>
                <w:lang w:val="fr-FR"/>
              </w:rPr>
              <w:t>5 GHz</w:t>
            </w:r>
          </w:p>
        </w:tc>
        <w:tc>
          <w:tcPr>
            <w:tcW w:w="2031" w:type="dxa"/>
          </w:tcPr>
          <w:p w14:paraId="64297DAD"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Réseaux d'accès hertzien fixe des fournisseurs d'accès à Internet, en usage partagé</w:t>
            </w:r>
          </w:p>
        </w:tc>
        <w:tc>
          <w:tcPr>
            <w:tcW w:w="1701" w:type="dxa"/>
          </w:tcPr>
          <w:p w14:paraId="26C75048"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Réseaux locaux radioélectriques privés</w:t>
            </w:r>
          </w:p>
        </w:tc>
        <w:tc>
          <w:tcPr>
            <w:tcW w:w="1843" w:type="dxa"/>
          </w:tcPr>
          <w:p w14:paraId="475FAC5A"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proofErr w:type="spellStart"/>
            <w:r w:rsidRPr="00614EF9">
              <w:rPr>
                <w:sz w:val="18"/>
                <w:szCs w:val="18"/>
                <w:lang w:val="fr-FR"/>
              </w:rPr>
              <w:t>Liptinfor</w:t>
            </w:r>
            <w:proofErr w:type="spellEnd"/>
            <w:r w:rsidRPr="00614EF9">
              <w:rPr>
                <w:sz w:val="18"/>
                <w:szCs w:val="18"/>
                <w:lang w:val="fr-FR"/>
              </w:rPr>
              <w:t xml:space="preserve"> (21 sites, 153 secteurs, 361 abonnés) et AFR-IX Telecom (2 sites, 6 secteurs, 30 abonnés) — exploitation exclusivement en 5 GHz</w:t>
            </w:r>
          </w:p>
        </w:tc>
        <w:tc>
          <w:tcPr>
            <w:tcW w:w="1701" w:type="dxa"/>
          </w:tcPr>
          <w:p w14:paraId="3C63DC80" w14:textId="77777777" w:rsidR="003A2650" w:rsidRPr="00614EF9" w:rsidRDefault="00374048">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6 GHz Low, en régime de puissance standard</w:t>
            </w:r>
          </w:p>
        </w:tc>
        <w:tc>
          <w:tcPr>
            <w:tcW w:w="1418" w:type="dxa"/>
          </w:tcPr>
          <w:p w14:paraId="5E0EF23D"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2028</w:t>
            </w:r>
          </w:p>
        </w:tc>
      </w:tr>
      <w:tr w:rsidR="007C757E" w:rsidRPr="00614EF9" w14:paraId="4D17F7B5" w14:textId="77777777" w:rsidTr="007F0A29">
        <w:trPr>
          <w:jc w:val="center"/>
        </w:trPr>
        <w:tc>
          <w:tcPr>
            <w:cnfStyle w:val="001000000000" w:firstRow="0" w:lastRow="0" w:firstColumn="1" w:lastColumn="0" w:oddVBand="0" w:evenVBand="0" w:oddHBand="0" w:evenHBand="0" w:firstRowFirstColumn="0" w:firstRowLastColumn="0" w:lastRowFirstColumn="0" w:lastRowLastColumn="0"/>
            <w:tcW w:w="1366" w:type="dxa"/>
          </w:tcPr>
          <w:p w14:paraId="2A2C0B3F" w14:textId="77777777" w:rsidR="003A2650" w:rsidRPr="00614EF9" w:rsidRDefault="00AB7DA8">
            <w:pPr>
              <w:rPr>
                <w:sz w:val="18"/>
                <w:szCs w:val="18"/>
                <w:lang w:val="fr-FR"/>
              </w:rPr>
            </w:pPr>
            <w:r w:rsidRPr="00614EF9">
              <w:rPr>
                <w:sz w:val="18"/>
                <w:szCs w:val="18"/>
                <w:lang w:val="fr-FR"/>
              </w:rPr>
              <w:t>614-694 MHz</w:t>
            </w:r>
          </w:p>
        </w:tc>
        <w:tc>
          <w:tcPr>
            <w:tcW w:w="2031" w:type="dxa"/>
          </w:tcPr>
          <w:p w14:paraId="76B833B2"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Radiodiffusion télévisuelle numérique terrestre</w:t>
            </w:r>
          </w:p>
        </w:tc>
        <w:tc>
          <w:tcPr>
            <w:tcW w:w="1701" w:type="dxa"/>
          </w:tcPr>
          <w:p w14:paraId="13A41C44"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Service mobile — IMT (arrangement 3GPP n105)</w:t>
            </w:r>
          </w:p>
        </w:tc>
        <w:tc>
          <w:tcPr>
            <w:tcW w:w="1843" w:type="dxa"/>
          </w:tcPr>
          <w:p w14:paraId="19DD2610"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 xml:space="preserve">Télédiffusion du Niger — 4 émetteurs déclarés ; Bouza et Madama sans canal d'accueil ; </w:t>
            </w:r>
            <w:proofErr w:type="spellStart"/>
            <w:r w:rsidRPr="00614EF9">
              <w:rPr>
                <w:sz w:val="18"/>
                <w:szCs w:val="18"/>
                <w:lang w:val="fr-FR"/>
              </w:rPr>
              <w:t>Téléstar</w:t>
            </w:r>
            <w:proofErr w:type="spellEnd"/>
            <w:r w:rsidRPr="00614EF9">
              <w:rPr>
                <w:sz w:val="18"/>
                <w:szCs w:val="18"/>
                <w:lang w:val="fr-FR"/>
              </w:rPr>
              <w:t xml:space="preserve"> non recensé</w:t>
            </w:r>
          </w:p>
        </w:tc>
        <w:tc>
          <w:tcPr>
            <w:tcW w:w="1701" w:type="dxa"/>
          </w:tcPr>
          <w:p w14:paraId="5409E09E"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470–614 MHz (canaux UHF 21 à 38), sous réserve d'une modification du Plan pour Bouza et Madama</w:t>
            </w:r>
          </w:p>
        </w:tc>
        <w:tc>
          <w:tcPr>
            <w:tcW w:w="1418" w:type="dxa"/>
          </w:tcPr>
          <w:p w14:paraId="19FAFF11"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Non programmée — trajectoire préparatoire (CMR-31)</w:t>
            </w:r>
          </w:p>
        </w:tc>
      </w:tr>
      <w:tr w:rsidR="007C757E" w:rsidRPr="00614EF9" w14:paraId="028C1D80" w14:textId="77777777" w:rsidTr="007F0A2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66" w:type="dxa"/>
          </w:tcPr>
          <w:p w14:paraId="2B86AE00" w14:textId="77777777" w:rsidR="003A2650" w:rsidRPr="00614EF9" w:rsidRDefault="009514E2">
            <w:pPr>
              <w:rPr>
                <w:sz w:val="18"/>
                <w:szCs w:val="18"/>
                <w:lang w:val="fr-FR"/>
              </w:rPr>
            </w:pPr>
            <w:r w:rsidRPr="00614EF9">
              <w:rPr>
                <w:sz w:val="18"/>
                <w:szCs w:val="18"/>
                <w:lang w:val="fr-FR"/>
              </w:rPr>
              <w:t>694–790 MHz</w:t>
            </w:r>
          </w:p>
        </w:tc>
        <w:tc>
          <w:tcPr>
            <w:tcW w:w="2031" w:type="dxa"/>
          </w:tcPr>
          <w:p w14:paraId="68CE0845"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Radiodiffusion télévisuelle analogique</w:t>
            </w:r>
          </w:p>
        </w:tc>
        <w:tc>
          <w:tcPr>
            <w:tcW w:w="1701" w:type="dxa"/>
          </w:tcPr>
          <w:p w14:paraId="432029D7"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Service mobile — IMT (arrangement 3GPP n28)</w:t>
            </w:r>
          </w:p>
        </w:tc>
        <w:tc>
          <w:tcPr>
            <w:tcW w:w="1843" w:type="dxa"/>
          </w:tcPr>
          <w:p w14:paraId="43F1F0BA"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 xml:space="preserve">Télédiffusion du Niger — 4 émetteurs analogiques (le 5e, </w:t>
            </w:r>
            <w:proofErr w:type="spellStart"/>
            <w:r w:rsidRPr="00614EF9">
              <w:rPr>
                <w:sz w:val="18"/>
                <w:szCs w:val="18"/>
                <w:lang w:val="fr-FR"/>
              </w:rPr>
              <w:t>Iférouane</w:t>
            </w:r>
            <w:proofErr w:type="spellEnd"/>
            <w:r w:rsidRPr="00614EF9">
              <w:rPr>
                <w:sz w:val="18"/>
                <w:szCs w:val="18"/>
                <w:lang w:val="fr-FR"/>
              </w:rPr>
              <w:t>, relève du volet 600 MHz)</w:t>
            </w:r>
          </w:p>
        </w:tc>
        <w:tc>
          <w:tcPr>
            <w:tcW w:w="1701" w:type="dxa"/>
          </w:tcPr>
          <w:p w14:paraId="33ACDE52"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Extinction de la diffusion analogique et report sur les multiplex numériques en 470–612 MHz</w:t>
            </w:r>
          </w:p>
        </w:tc>
        <w:tc>
          <w:tcPr>
            <w:tcW w:w="1418" w:type="dxa"/>
          </w:tcPr>
          <w:p w14:paraId="09D9C5F6"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18"/>
                <w:szCs w:val="18"/>
                <w:lang w:val="fr-FR"/>
              </w:rPr>
            </w:pPr>
            <w:r w:rsidRPr="00614EF9">
              <w:rPr>
                <w:sz w:val="18"/>
                <w:szCs w:val="18"/>
                <w:lang w:val="fr-FR"/>
              </w:rPr>
              <w:t>2028</w:t>
            </w:r>
          </w:p>
        </w:tc>
      </w:tr>
      <w:tr w:rsidR="007C757E" w:rsidRPr="00614EF9" w14:paraId="4335C341" w14:textId="77777777" w:rsidTr="007F0A29">
        <w:trPr>
          <w:jc w:val="center"/>
        </w:trPr>
        <w:tc>
          <w:tcPr>
            <w:cnfStyle w:val="001000000000" w:firstRow="0" w:lastRow="0" w:firstColumn="1" w:lastColumn="0" w:oddVBand="0" w:evenVBand="0" w:oddHBand="0" w:evenHBand="0" w:firstRowFirstColumn="0" w:firstRowLastColumn="0" w:lastRowFirstColumn="0" w:lastRowLastColumn="0"/>
            <w:tcW w:w="1366" w:type="dxa"/>
          </w:tcPr>
          <w:p w14:paraId="545474A4" w14:textId="77777777" w:rsidR="003A2650" w:rsidRPr="00614EF9" w:rsidRDefault="009514E2">
            <w:pPr>
              <w:rPr>
                <w:sz w:val="18"/>
                <w:szCs w:val="18"/>
                <w:lang w:val="fr-FR"/>
              </w:rPr>
            </w:pPr>
            <w:r w:rsidRPr="00614EF9">
              <w:rPr>
                <w:sz w:val="18"/>
                <w:szCs w:val="18"/>
                <w:lang w:val="fr-FR"/>
              </w:rPr>
              <w:t>3 400–3 600 MHz</w:t>
            </w:r>
          </w:p>
        </w:tc>
        <w:tc>
          <w:tcPr>
            <w:tcW w:w="2031" w:type="dxa"/>
          </w:tcPr>
          <w:p w14:paraId="470B99D0"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 xml:space="preserve">Accès hertzien fixe </w:t>
            </w:r>
            <w:proofErr w:type="gramStart"/>
            <w:r w:rsidRPr="00614EF9">
              <w:rPr>
                <w:sz w:val="18"/>
                <w:szCs w:val="18"/>
                <w:lang w:val="fr-FR"/>
              </w:rPr>
              <w:t>hérité</w:t>
            </w:r>
            <w:proofErr w:type="gramEnd"/>
            <w:r w:rsidRPr="00614EF9">
              <w:rPr>
                <w:sz w:val="18"/>
                <w:szCs w:val="18"/>
                <w:lang w:val="fr-FR"/>
              </w:rPr>
              <w:t xml:space="preserve"> ; réception du service fixe par satellite en bande C</w:t>
            </w:r>
          </w:p>
        </w:tc>
        <w:tc>
          <w:tcPr>
            <w:tcW w:w="1701" w:type="dxa"/>
          </w:tcPr>
          <w:p w14:paraId="23189010"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Service mobile — IMT (5G)</w:t>
            </w:r>
          </w:p>
        </w:tc>
        <w:tc>
          <w:tcPr>
            <w:tcW w:w="1843" w:type="dxa"/>
          </w:tcPr>
          <w:p w14:paraId="005B84F1"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proofErr w:type="spellStart"/>
            <w:r w:rsidRPr="00614EF9">
              <w:rPr>
                <w:sz w:val="18"/>
                <w:szCs w:val="18"/>
                <w:lang w:val="fr-FR"/>
              </w:rPr>
              <w:t>Liptinfor</w:t>
            </w:r>
            <w:proofErr w:type="spellEnd"/>
            <w:r w:rsidRPr="00614EF9">
              <w:rPr>
                <w:sz w:val="18"/>
                <w:szCs w:val="18"/>
                <w:lang w:val="fr-FR"/>
              </w:rPr>
              <w:t xml:space="preserve"> (2 points d'accès, 8 abonnés) ; 46 stations terriennes de réception recensées : Celtel 17 (</w:t>
            </w:r>
            <w:proofErr w:type="spellStart"/>
            <w:r w:rsidRPr="00614EF9">
              <w:rPr>
                <w:sz w:val="18"/>
                <w:szCs w:val="18"/>
                <w:lang w:val="fr-FR"/>
              </w:rPr>
              <w:t>co</w:t>
            </w:r>
            <w:proofErr w:type="spellEnd"/>
            <w:r w:rsidRPr="00614EF9">
              <w:rPr>
                <w:sz w:val="18"/>
                <w:szCs w:val="18"/>
                <w:lang w:val="fr-FR"/>
              </w:rPr>
              <w:t>-canal), Moov 19, Télédiffusion du Niger 8</w:t>
            </w:r>
          </w:p>
        </w:tc>
        <w:tc>
          <w:tcPr>
            <w:tcW w:w="1701" w:type="dxa"/>
          </w:tcPr>
          <w:p w14:paraId="5207BDD5"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Maintien de la réception avec mesures de protection ; à défaut, report au-delà de 3 800 MHz ou vers les bandes Ku et Ka</w:t>
            </w:r>
          </w:p>
        </w:tc>
        <w:tc>
          <w:tcPr>
            <w:tcW w:w="1418" w:type="dxa"/>
          </w:tcPr>
          <w:p w14:paraId="0E0A7BA3"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18"/>
                <w:szCs w:val="18"/>
                <w:lang w:val="fr-FR"/>
              </w:rPr>
            </w:pPr>
            <w:r w:rsidRPr="00614EF9">
              <w:rPr>
                <w:sz w:val="18"/>
                <w:szCs w:val="18"/>
                <w:lang w:val="fr-FR"/>
              </w:rPr>
              <w:t>2028</w:t>
            </w:r>
          </w:p>
        </w:tc>
      </w:tr>
    </w:tbl>
    <w:p w14:paraId="00906072" w14:textId="77777777" w:rsidR="00AB7DA8" w:rsidRPr="00614EF9" w:rsidRDefault="00AB7DA8" w:rsidP="00AB7DA8">
      <w:pPr>
        <w:rPr>
          <w:lang w:val="fr-FR"/>
        </w:rPr>
      </w:pPr>
      <w:bookmarkStart w:id="278" w:name="_Toc232062326"/>
    </w:p>
    <w:p w14:paraId="0AAFB1FB" w14:textId="77777777" w:rsidR="007F0A29" w:rsidRPr="00614EF9" w:rsidRDefault="007F0A29" w:rsidP="00AB7DA8">
      <w:pPr>
        <w:rPr>
          <w:lang w:val="fr-FR"/>
        </w:rPr>
      </w:pPr>
    </w:p>
    <w:p w14:paraId="3DD0A1FF" w14:textId="77777777" w:rsidR="00374048" w:rsidRPr="00614EF9" w:rsidRDefault="00374048" w:rsidP="00AB7DA8">
      <w:pPr>
        <w:rPr>
          <w:lang w:val="fr-FR"/>
        </w:rPr>
      </w:pPr>
    </w:p>
    <w:p w14:paraId="07E39067" w14:textId="77777777" w:rsidR="007C757E" w:rsidRPr="00614EF9" w:rsidRDefault="009514E2" w:rsidP="007D4BE4">
      <w:pPr>
        <w:pStyle w:val="Titre2"/>
        <w:rPr>
          <w:lang w:val="fr-FR"/>
        </w:rPr>
      </w:pPr>
      <w:bookmarkStart w:id="279" w:name="_Toc236636403"/>
      <w:bookmarkStart w:id="280" w:name="_Toc240614461"/>
      <w:r w:rsidRPr="00614EF9">
        <w:rPr>
          <w:lang w:val="fr-FR"/>
        </w:rPr>
        <w:lastRenderedPageBreak/>
        <w:t>Annexe B – Fiche de migration type (par bande)</w:t>
      </w:r>
      <w:bookmarkEnd w:id="278"/>
      <w:bookmarkEnd w:id="279"/>
      <w:bookmarkEnd w:id="280"/>
    </w:p>
    <w:p w14:paraId="4027796A" w14:textId="77777777" w:rsidR="003A2650" w:rsidRPr="00614EF9" w:rsidRDefault="009514E2">
      <w:pPr>
        <w:spacing w:before="60"/>
        <w:rPr>
          <w:lang w:val="fr-FR"/>
        </w:rPr>
      </w:pPr>
      <w:r w:rsidRPr="00614EF9">
        <w:rPr>
          <w:lang w:val="fr-FR"/>
        </w:rPr>
        <w:t>Une fiche de migration est établie pour chacune des bandes inscrites au plan. Elle constitue le document de référence du groupe de travail compétent et est actualisée à chaque revue trimestrielle du comité de pilotage. Le modèle ci-après est renseigné, à titre d'illustration, pour le volet 700 MHz, retenu comme premier volet du séquencement.</w:t>
      </w:r>
    </w:p>
    <w:p w14:paraId="4569A19D" w14:textId="77777777" w:rsidR="00AB7DA8" w:rsidRPr="00614EF9" w:rsidRDefault="00AB7DA8" w:rsidP="0066730D">
      <w:pPr>
        <w:pStyle w:val="Titre3"/>
        <w:rPr>
          <w:lang w:val="fr-FR"/>
        </w:rPr>
      </w:pPr>
      <w:bookmarkStart w:id="281" w:name="_Toc236636404"/>
      <w:bookmarkStart w:id="282" w:name="_Toc240614462"/>
      <w:r w:rsidRPr="00614EF9">
        <w:rPr>
          <w:lang w:val="fr-FR"/>
        </w:rPr>
        <w:t>Bande 600 MHz</w:t>
      </w:r>
      <w:bookmarkEnd w:id="281"/>
      <w:bookmarkEnd w:id="282"/>
    </w:p>
    <w:tbl>
      <w:tblPr>
        <w:tblStyle w:val="TableauGrille4-Accentuation3"/>
        <w:tblW w:w="9638" w:type="dxa"/>
        <w:jc w:val="center"/>
        <w:tblLayout w:type="fixed"/>
        <w:tblLook w:val="04A0" w:firstRow="1" w:lastRow="0" w:firstColumn="1" w:lastColumn="0" w:noHBand="0" w:noVBand="1"/>
      </w:tblPr>
      <w:tblGrid>
        <w:gridCol w:w="3400"/>
        <w:gridCol w:w="6238"/>
      </w:tblGrid>
      <w:tr w:rsidR="00CA0EDC" w:rsidRPr="00614EF9" w14:paraId="678C6FC2" w14:textId="77777777" w:rsidTr="00CA0ED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0069D02B" w14:textId="77777777" w:rsidR="00CA0EDC" w:rsidRPr="00614EF9" w:rsidRDefault="009514E2" w:rsidP="00DD7675">
            <w:pPr>
              <w:spacing w:before="60" w:after="60"/>
              <w:rPr>
                <w:sz w:val="20"/>
                <w:szCs w:val="20"/>
                <w:lang w:val="fr-FR"/>
              </w:rPr>
            </w:pPr>
            <w:r w:rsidRPr="00614EF9">
              <w:rPr>
                <w:color w:val="FFFFFF"/>
                <w:sz w:val="20"/>
                <w:szCs w:val="20"/>
                <w:lang w:val="fr-FR"/>
              </w:rPr>
              <w:t>Rubrique</w:t>
            </w:r>
          </w:p>
        </w:tc>
        <w:tc>
          <w:tcPr>
            <w:tcW w:w="6238" w:type="dxa"/>
            <w:tcMar>
              <w:top w:w="40" w:type="dxa"/>
              <w:bottom w:w="40" w:type="dxa"/>
            </w:tcMar>
          </w:tcPr>
          <w:p w14:paraId="7663A3B6" w14:textId="77777777" w:rsidR="00CA0EDC" w:rsidRPr="00614EF9" w:rsidRDefault="009514E2" w:rsidP="00DD7675">
            <w:pPr>
              <w:spacing w:before="60" w:after="60"/>
              <w:cnfStyle w:val="100000000000" w:firstRow="1" w:lastRow="0" w:firstColumn="0" w:lastColumn="0" w:oddVBand="0" w:evenVBand="0" w:oddHBand="0" w:evenHBand="0" w:firstRowFirstColumn="0" w:firstRowLastColumn="0" w:lastRowFirstColumn="0" w:lastRowLastColumn="0"/>
              <w:rPr>
                <w:sz w:val="20"/>
                <w:szCs w:val="20"/>
                <w:lang w:val="fr-FR"/>
              </w:rPr>
            </w:pPr>
            <w:r w:rsidRPr="00614EF9">
              <w:rPr>
                <w:color w:val="FFFFFF"/>
                <w:sz w:val="20"/>
                <w:szCs w:val="20"/>
                <w:lang w:val="fr-FR"/>
              </w:rPr>
              <w:t>Contenu</w:t>
            </w:r>
          </w:p>
        </w:tc>
      </w:tr>
      <w:tr w:rsidR="00CA0EDC" w:rsidRPr="00614EF9" w14:paraId="20447483" w14:textId="77777777" w:rsidTr="00CA0E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11A84A42"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Bande concernée</w:t>
            </w:r>
          </w:p>
        </w:tc>
        <w:tc>
          <w:tcPr>
            <w:tcW w:w="6238" w:type="dxa"/>
            <w:tcMar>
              <w:top w:w="40" w:type="dxa"/>
              <w:bottom w:w="40" w:type="dxa"/>
            </w:tcMar>
          </w:tcPr>
          <w:p w14:paraId="00358538" w14:textId="1D596928" w:rsidR="00CA0EDC" w:rsidRPr="00614EF9" w:rsidRDefault="00F5670A" w:rsidP="00DD7675">
            <w:pPr>
              <w:spacing w:before="60" w:after="60"/>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614-694 M</w:t>
            </w:r>
            <w:r w:rsidR="007F0A29" w:rsidRPr="00614EF9">
              <w:rPr>
                <w:sz w:val="20"/>
                <w:szCs w:val="20"/>
                <w:lang w:val="fr-FR"/>
              </w:rPr>
              <w:t>H</w:t>
            </w:r>
            <w:r w:rsidRPr="00614EF9">
              <w:rPr>
                <w:sz w:val="20"/>
                <w:szCs w:val="20"/>
                <w:lang w:val="fr-FR"/>
              </w:rPr>
              <w:t>z</w:t>
            </w:r>
          </w:p>
        </w:tc>
      </w:tr>
      <w:tr w:rsidR="00CA0EDC" w:rsidRPr="00614EF9" w14:paraId="2B261E94" w14:textId="77777777" w:rsidTr="00CA0EDC">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7D367DC9"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Attribution antérieure / nouvelle attribution (PNAF)</w:t>
            </w:r>
          </w:p>
        </w:tc>
        <w:tc>
          <w:tcPr>
            <w:tcW w:w="6238" w:type="dxa"/>
            <w:tcMar>
              <w:top w:w="40" w:type="dxa"/>
              <w:bottom w:w="40" w:type="dxa"/>
            </w:tcMar>
          </w:tcPr>
          <w:p w14:paraId="2E847916" w14:textId="77777777" w:rsidR="00CA0EDC" w:rsidRPr="00614EF9" w:rsidRDefault="009514E2" w:rsidP="00DD7675">
            <w:pPr>
              <w:spacing w:before="60" w:after="60"/>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Radiodiffusion télévisuelle numérique terrestre / Service mobile – applications IMT</w:t>
            </w:r>
          </w:p>
        </w:tc>
      </w:tr>
      <w:tr w:rsidR="00CA0EDC" w:rsidRPr="00614EF9" w14:paraId="3158D3FA" w14:textId="77777777" w:rsidTr="00CA0E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706FE895"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Assignataires impactés (nombre, catégories)</w:t>
            </w:r>
          </w:p>
        </w:tc>
        <w:tc>
          <w:tcPr>
            <w:tcW w:w="6238" w:type="dxa"/>
            <w:tcMar>
              <w:top w:w="40" w:type="dxa"/>
              <w:bottom w:w="40" w:type="dxa"/>
            </w:tcMar>
          </w:tcPr>
          <w:p w14:paraId="103A8DA6" w14:textId="77777777" w:rsidR="00CA0EDC" w:rsidRPr="00614EF9" w:rsidRDefault="009514E2" w:rsidP="00DD7675">
            <w:pPr>
              <w:spacing w:before="60" w:after="60"/>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 xml:space="preserve">Un assignataire déclaré : Télédiffusion du Niger, au titre de 4 émetteurs du multiplex TNT Niger 01 (Madama et </w:t>
            </w:r>
            <w:proofErr w:type="spellStart"/>
            <w:r w:rsidRPr="00614EF9">
              <w:rPr>
                <w:sz w:val="20"/>
                <w:szCs w:val="20"/>
                <w:lang w:val="fr-FR"/>
              </w:rPr>
              <w:t>Balleyara</w:t>
            </w:r>
            <w:proofErr w:type="spellEnd"/>
            <w:r w:rsidRPr="00614EF9">
              <w:rPr>
                <w:sz w:val="20"/>
                <w:szCs w:val="20"/>
                <w:lang w:val="fr-FR"/>
              </w:rPr>
              <w:t xml:space="preserve"> sur le canal 41, Dakoro sur le canal 40, Bouza sur le canal 44). </w:t>
            </w:r>
            <w:proofErr w:type="spellStart"/>
            <w:r w:rsidRPr="00614EF9">
              <w:rPr>
                <w:sz w:val="20"/>
                <w:szCs w:val="20"/>
                <w:lang w:val="fr-FR"/>
              </w:rPr>
              <w:t>Téléstar</w:t>
            </w:r>
            <w:proofErr w:type="spellEnd"/>
            <w:r w:rsidRPr="00614EF9">
              <w:rPr>
                <w:sz w:val="20"/>
                <w:szCs w:val="20"/>
                <w:lang w:val="fr-FR"/>
              </w:rPr>
              <w:t>, opérateur de diffusion, n'a pas contribué : l'inventaire demeure incomplet.</w:t>
            </w:r>
          </w:p>
        </w:tc>
      </w:tr>
      <w:tr w:rsidR="00CA0EDC" w:rsidRPr="00614EF9" w14:paraId="125B8EFA" w14:textId="77777777" w:rsidTr="00CA0EDC">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37C8D9EA"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Bande(s) de repli proposée(s)</w:t>
            </w:r>
          </w:p>
        </w:tc>
        <w:tc>
          <w:tcPr>
            <w:tcW w:w="6238" w:type="dxa"/>
            <w:tcMar>
              <w:top w:w="40" w:type="dxa"/>
              <w:bottom w:w="40" w:type="dxa"/>
            </w:tcMar>
          </w:tcPr>
          <w:p w14:paraId="2F5CB369" w14:textId="77777777" w:rsidR="00CA0EDC" w:rsidRPr="00614EF9" w:rsidRDefault="009514E2" w:rsidP="00DD7675">
            <w:pPr>
              <w:spacing w:before="60" w:after="60"/>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470–614 MHz (canaux UHF 21 à 38). Bouza et Madama ne disposent d'aucun canal d'accueil dans cette portion et relèvent d'une procédure de modification du Plan au titre de l'article 4 de l'Accord GE06.</w:t>
            </w:r>
          </w:p>
        </w:tc>
      </w:tr>
      <w:tr w:rsidR="00CA0EDC" w:rsidRPr="00614EF9" w14:paraId="0F91969C" w14:textId="77777777" w:rsidTr="00CA0E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5D88B967"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Contraintes de coordination frontalière / UIT</w:t>
            </w:r>
          </w:p>
        </w:tc>
        <w:tc>
          <w:tcPr>
            <w:tcW w:w="6238" w:type="dxa"/>
            <w:tcMar>
              <w:top w:w="40" w:type="dxa"/>
              <w:bottom w:w="40" w:type="dxa"/>
            </w:tcMar>
          </w:tcPr>
          <w:p w14:paraId="613D812D" w14:textId="77777777" w:rsidR="00CA0EDC" w:rsidRPr="00614EF9" w:rsidRDefault="009514E2" w:rsidP="00DD7675">
            <w:pPr>
              <w:spacing w:before="60" w:after="60"/>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Modification du Plan GE06 et accord des administrations affectées, Madama se situant à proximité de la frontière libyenne. Absence d'allocation au service mobile pour le Niger dans cette bande : l'exploitation relèverait du numéro 4.4 du Règlement des radiocommunications.</w:t>
            </w:r>
          </w:p>
        </w:tc>
      </w:tr>
      <w:tr w:rsidR="00CA0EDC" w:rsidRPr="00614EF9" w14:paraId="5D15BFF8" w14:textId="77777777" w:rsidTr="00CA0EDC">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5F4B8A6E"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Coût estimé de la migration</w:t>
            </w:r>
          </w:p>
        </w:tc>
        <w:tc>
          <w:tcPr>
            <w:tcW w:w="6238" w:type="dxa"/>
            <w:tcMar>
              <w:top w:w="40" w:type="dxa"/>
              <w:bottom w:w="40" w:type="dxa"/>
            </w:tcMar>
          </w:tcPr>
          <w:p w14:paraId="700A7ACB" w14:textId="77777777" w:rsidR="00CA0EDC" w:rsidRPr="00614EF9" w:rsidRDefault="009514E2" w:rsidP="00DD7675">
            <w:pPr>
              <w:spacing w:before="60" w:after="60"/>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 xml:space="preserve">200 000 000 F CFA déclarés (émetteurs, filtres de masque et systèmes rayonnants, information du public). Chiffrage non retenu en l'état : l'unité employée diverge entre le classeur de dépouillement et la contribution source, dans un rapport </w:t>
            </w:r>
            <w:proofErr w:type="gramStart"/>
            <w:r w:rsidRPr="00614EF9">
              <w:rPr>
                <w:sz w:val="20"/>
                <w:szCs w:val="20"/>
                <w:lang w:val="fr-FR"/>
              </w:rPr>
              <w:t>de un</w:t>
            </w:r>
            <w:proofErr w:type="gramEnd"/>
            <w:r w:rsidRPr="00614EF9">
              <w:rPr>
                <w:sz w:val="20"/>
                <w:szCs w:val="20"/>
                <w:lang w:val="fr-FR"/>
              </w:rPr>
              <w:t xml:space="preserve"> à mille.</w:t>
            </w:r>
          </w:p>
        </w:tc>
      </w:tr>
      <w:tr w:rsidR="00CA0EDC" w:rsidRPr="00614EF9" w14:paraId="70553ED1" w14:textId="77777777" w:rsidTr="00CA0E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26728176"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Mécanisme de financement</w:t>
            </w:r>
          </w:p>
        </w:tc>
        <w:tc>
          <w:tcPr>
            <w:tcW w:w="6238" w:type="dxa"/>
            <w:tcMar>
              <w:top w:w="40" w:type="dxa"/>
              <w:bottom w:w="40" w:type="dxa"/>
            </w:tcMar>
          </w:tcPr>
          <w:p w14:paraId="11DD42B8" w14:textId="77777777" w:rsidR="00CA0EDC" w:rsidRPr="00614EF9" w:rsidRDefault="009514E2" w:rsidP="00DD7675">
            <w:pPr>
              <w:spacing w:before="60" w:after="60"/>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Sans objet sur la période du plan, la libération n'étant pas programmée. La demande de rétribution du dividende numérique formulée par l'assignataire est instruite séparément.</w:t>
            </w:r>
          </w:p>
        </w:tc>
      </w:tr>
      <w:tr w:rsidR="00CA0EDC" w:rsidRPr="00614EF9" w14:paraId="3BB74926" w14:textId="77777777" w:rsidTr="00CA0EDC">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1157DE0D"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Responsable du pilotage</w:t>
            </w:r>
          </w:p>
        </w:tc>
        <w:tc>
          <w:tcPr>
            <w:tcW w:w="6238" w:type="dxa"/>
            <w:tcMar>
              <w:top w:w="40" w:type="dxa"/>
              <w:bottom w:w="40" w:type="dxa"/>
            </w:tcMar>
          </w:tcPr>
          <w:p w14:paraId="72EE5171" w14:textId="4D5C9DC9" w:rsidR="00CA0EDC" w:rsidRPr="00614EF9" w:rsidRDefault="009514E2" w:rsidP="00DD7675">
            <w:pPr>
              <w:spacing w:before="60" w:after="60"/>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 xml:space="preserve">Direction des Radiocommunications </w:t>
            </w:r>
          </w:p>
        </w:tc>
      </w:tr>
      <w:tr w:rsidR="00CA0EDC" w:rsidRPr="00614EF9" w14:paraId="0D63ED2B" w14:textId="77777777" w:rsidTr="00CA0ED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017DFC44"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Échéance de libération</w:t>
            </w:r>
          </w:p>
        </w:tc>
        <w:tc>
          <w:tcPr>
            <w:tcW w:w="6238" w:type="dxa"/>
            <w:tcMar>
              <w:top w:w="40" w:type="dxa"/>
              <w:bottom w:w="40" w:type="dxa"/>
            </w:tcMar>
          </w:tcPr>
          <w:p w14:paraId="59437ECA" w14:textId="77777777" w:rsidR="00CA0EDC" w:rsidRPr="00614EF9" w:rsidRDefault="009514E2" w:rsidP="00DD7675">
            <w:pPr>
              <w:spacing w:before="60" w:after="60"/>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Non programmée. Trajectoire préparatoire orientée vers la Conférence mondiale des radiocommunications de 2031.</w:t>
            </w:r>
          </w:p>
        </w:tc>
      </w:tr>
      <w:tr w:rsidR="00CA0EDC" w:rsidRPr="00614EF9" w14:paraId="03DEBC7B" w14:textId="77777777" w:rsidTr="00CA0EDC">
        <w:trPr>
          <w:jc w:val="center"/>
        </w:trPr>
        <w:tc>
          <w:tcPr>
            <w:cnfStyle w:val="001000000000" w:firstRow="0" w:lastRow="0" w:firstColumn="1" w:lastColumn="0" w:oddVBand="0" w:evenVBand="0" w:oddHBand="0" w:evenHBand="0" w:firstRowFirstColumn="0" w:firstRowLastColumn="0" w:lastRowFirstColumn="0" w:lastRowLastColumn="0"/>
            <w:tcW w:w="3400" w:type="dxa"/>
            <w:tcMar>
              <w:top w:w="40" w:type="dxa"/>
              <w:bottom w:w="40" w:type="dxa"/>
            </w:tcMar>
          </w:tcPr>
          <w:p w14:paraId="4D8E4B22" w14:textId="77777777" w:rsidR="00CA0EDC" w:rsidRPr="00614EF9" w:rsidRDefault="009514E2" w:rsidP="00DD7675">
            <w:pPr>
              <w:spacing w:before="60" w:after="60"/>
              <w:rPr>
                <w:b w:val="0"/>
                <w:bCs w:val="0"/>
                <w:sz w:val="20"/>
                <w:szCs w:val="20"/>
                <w:lang w:val="fr-FR"/>
              </w:rPr>
            </w:pPr>
            <w:r w:rsidRPr="00614EF9">
              <w:rPr>
                <w:b w:val="0"/>
                <w:bCs w:val="0"/>
                <w:sz w:val="20"/>
                <w:szCs w:val="20"/>
                <w:lang w:val="fr-FR"/>
              </w:rPr>
              <w:t>État d'avancement</w:t>
            </w:r>
          </w:p>
        </w:tc>
        <w:tc>
          <w:tcPr>
            <w:tcW w:w="6238" w:type="dxa"/>
            <w:tcMar>
              <w:top w:w="40" w:type="dxa"/>
              <w:bottom w:w="40" w:type="dxa"/>
            </w:tcMar>
          </w:tcPr>
          <w:p w14:paraId="66E54040" w14:textId="77777777" w:rsidR="00CA0EDC" w:rsidRPr="00614EF9" w:rsidRDefault="009514E2" w:rsidP="00DD7675">
            <w:pPr>
              <w:spacing w:before="60" w:after="60"/>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Diagnostic établi. Audience de la télévision numérique terrestre documentée (67,1 % à 92,5 % des ménages). Constitution du dossier national en vue de la CMR-31 engagée ; limite basse de la bande et sort du canal 38 à arrêter.</w:t>
            </w:r>
          </w:p>
        </w:tc>
      </w:tr>
    </w:tbl>
    <w:p w14:paraId="12F17D5F" w14:textId="77777777" w:rsidR="00CA0EDC" w:rsidRPr="00614EF9" w:rsidRDefault="00CA0EDC">
      <w:pPr>
        <w:spacing w:before="60"/>
        <w:rPr>
          <w:lang w:val="fr-FR"/>
        </w:rPr>
      </w:pPr>
    </w:p>
    <w:p w14:paraId="55637250" w14:textId="77777777" w:rsidR="00AB7DA8" w:rsidRPr="00614EF9" w:rsidRDefault="00AB7DA8">
      <w:pPr>
        <w:spacing w:before="60"/>
        <w:rPr>
          <w:lang w:val="fr-FR"/>
        </w:rPr>
      </w:pPr>
    </w:p>
    <w:p w14:paraId="13AAFD2A" w14:textId="77777777" w:rsidR="00AB7DA8" w:rsidRPr="00614EF9" w:rsidRDefault="00AB7DA8" w:rsidP="0066730D">
      <w:pPr>
        <w:pStyle w:val="Titre3"/>
        <w:rPr>
          <w:lang w:val="fr-FR"/>
        </w:rPr>
      </w:pPr>
      <w:bookmarkStart w:id="283" w:name="_Toc236636405"/>
      <w:bookmarkStart w:id="284" w:name="_Toc240614463"/>
      <w:r w:rsidRPr="00614EF9">
        <w:rPr>
          <w:lang w:val="fr-FR"/>
        </w:rPr>
        <w:lastRenderedPageBreak/>
        <w:t>Bande 700 MHz</w:t>
      </w:r>
      <w:bookmarkEnd w:id="283"/>
      <w:bookmarkEnd w:id="284"/>
    </w:p>
    <w:tbl>
      <w:tblPr>
        <w:tblStyle w:val="TableauGrille4-Accentuation3"/>
        <w:tblW w:w="9922" w:type="dxa"/>
        <w:jc w:val="center"/>
        <w:tblLook w:val="04A0" w:firstRow="1" w:lastRow="0" w:firstColumn="1" w:lastColumn="0" w:noHBand="0" w:noVBand="1"/>
      </w:tblPr>
      <w:tblGrid>
        <w:gridCol w:w="3200"/>
        <w:gridCol w:w="6722"/>
      </w:tblGrid>
      <w:tr w:rsidR="007C757E" w:rsidRPr="00614EF9" w14:paraId="1A49F8E7" w14:textId="77777777" w:rsidTr="00CB5F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21BEDD2C" w14:textId="77777777" w:rsidR="007C757E" w:rsidRPr="00614EF9" w:rsidRDefault="009514E2" w:rsidP="00CB5F05">
            <w:pPr>
              <w:spacing w:before="40" w:after="40"/>
              <w:rPr>
                <w:sz w:val="20"/>
                <w:szCs w:val="20"/>
                <w:lang w:val="fr-FR"/>
              </w:rPr>
            </w:pPr>
            <w:r w:rsidRPr="00614EF9">
              <w:rPr>
                <w:sz w:val="20"/>
                <w:szCs w:val="20"/>
                <w:lang w:val="fr-FR"/>
              </w:rPr>
              <w:t>Rubrique</w:t>
            </w:r>
          </w:p>
        </w:tc>
        <w:tc>
          <w:tcPr>
            <w:tcW w:w="6722" w:type="dxa"/>
          </w:tcPr>
          <w:p w14:paraId="32379B34" w14:textId="77777777" w:rsidR="007C757E" w:rsidRPr="00614EF9" w:rsidRDefault="009514E2" w:rsidP="00CB5F05">
            <w:pPr>
              <w:spacing w:before="40" w:after="40"/>
              <w:cnfStyle w:val="100000000000" w:firstRow="1"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Contenu</w:t>
            </w:r>
          </w:p>
        </w:tc>
      </w:tr>
      <w:tr w:rsidR="007C757E" w:rsidRPr="00614EF9" w14:paraId="2ABBB43F" w14:textId="77777777" w:rsidTr="00CB5F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22DE75AF"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Bande concernée</w:t>
            </w:r>
          </w:p>
        </w:tc>
        <w:tc>
          <w:tcPr>
            <w:tcW w:w="6722" w:type="dxa"/>
          </w:tcPr>
          <w:p w14:paraId="4B558427"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694–790 MHz (arrangement 3GPP n28)</w:t>
            </w:r>
          </w:p>
        </w:tc>
      </w:tr>
      <w:tr w:rsidR="007C757E" w:rsidRPr="00614EF9" w14:paraId="23D2903E" w14:textId="77777777" w:rsidTr="00CB5F05">
        <w:trPr>
          <w:jc w:val="center"/>
        </w:trPr>
        <w:tc>
          <w:tcPr>
            <w:cnfStyle w:val="001000000000" w:firstRow="0" w:lastRow="0" w:firstColumn="1" w:lastColumn="0" w:oddVBand="0" w:evenVBand="0" w:oddHBand="0" w:evenHBand="0" w:firstRowFirstColumn="0" w:firstRowLastColumn="0" w:lastRowFirstColumn="0" w:lastRowLastColumn="0"/>
            <w:tcW w:w="3200" w:type="dxa"/>
          </w:tcPr>
          <w:p w14:paraId="7DFE93D3"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Attribution antérieure / nouvelle attribution (PNAF)</w:t>
            </w:r>
          </w:p>
        </w:tc>
        <w:tc>
          <w:tcPr>
            <w:tcW w:w="6722" w:type="dxa"/>
          </w:tcPr>
          <w:p w14:paraId="2A79F5AC"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Radiodiffusion télévisuelle / Service mobile — applications IMT</w:t>
            </w:r>
          </w:p>
        </w:tc>
      </w:tr>
      <w:tr w:rsidR="007C757E" w:rsidRPr="00614EF9" w14:paraId="02C4CBFF" w14:textId="77777777" w:rsidTr="00CB5F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5FF45C4F"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Assignataires impactés (nombre, catégories)</w:t>
            </w:r>
          </w:p>
        </w:tc>
        <w:tc>
          <w:tcPr>
            <w:tcW w:w="6722" w:type="dxa"/>
          </w:tcPr>
          <w:p w14:paraId="3C862EF9"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Un assignataire déclaré à ce jour : Télédiffusion du Niger, au titre de 5 émetteurs de télévision analogique (</w:t>
            </w:r>
            <w:proofErr w:type="spellStart"/>
            <w:r w:rsidRPr="00614EF9">
              <w:rPr>
                <w:sz w:val="20"/>
                <w:szCs w:val="20"/>
                <w:lang w:val="fr-FR"/>
              </w:rPr>
              <w:t>Dirkou</w:t>
            </w:r>
            <w:proofErr w:type="spellEnd"/>
            <w:r w:rsidRPr="00614EF9">
              <w:rPr>
                <w:sz w:val="20"/>
                <w:szCs w:val="20"/>
                <w:lang w:val="fr-FR"/>
              </w:rPr>
              <w:t xml:space="preserve">, </w:t>
            </w:r>
            <w:proofErr w:type="spellStart"/>
            <w:r w:rsidRPr="00614EF9">
              <w:rPr>
                <w:sz w:val="20"/>
                <w:szCs w:val="20"/>
                <w:lang w:val="fr-FR"/>
              </w:rPr>
              <w:t>Iférouane</w:t>
            </w:r>
            <w:proofErr w:type="spellEnd"/>
            <w:r w:rsidRPr="00614EF9">
              <w:rPr>
                <w:sz w:val="20"/>
                <w:szCs w:val="20"/>
                <w:lang w:val="fr-FR"/>
              </w:rPr>
              <w:t xml:space="preserve">, </w:t>
            </w:r>
            <w:proofErr w:type="spellStart"/>
            <w:r w:rsidRPr="00614EF9">
              <w:rPr>
                <w:sz w:val="20"/>
                <w:szCs w:val="20"/>
                <w:lang w:val="fr-FR"/>
              </w:rPr>
              <w:t>Mayahi</w:t>
            </w:r>
            <w:proofErr w:type="spellEnd"/>
            <w:r w:rsidRPr="00614EF9">
              <w:rPr>
                <w:sz w:val="20"/>
                <w:szCs w:val="20"/>
                <w:lang w:val="fr-FR"/>
              </w:rPr>
              <w:t xml:space="preserve">, </w:t>
            </w:r>
            <w:proofErr w:type="spellStart"/>
            <w:r w:rsidRPr="00614EF9">
              <w:rPr>
                <w:sz w:val="20"/>
                <w:szCs w:val="20"/>
                <w:lang w:val="fr-FR"/>
              </w:rPr>
              <w:t>Matameye</w:t>
            </w:r>
            <w:proofErr w:type="spellEnd"/>
            <w:r w:rsidRPr="00614EF9">
              <w:rPr>
                <w:sz w:val="20"/>
                <w:szCs w:val="20"/>
                <w:lang w:val="fr-FR"/>
              </w:rPr>
              <w:t xml:space="preserve"> et </w:t>
            </w:r>
            <w:proofErr w:type="spellStart"/>
            <w:r w:rsidRPr="00614EF9">
              <w:rPr>
                <w:sz w:val="20"/>
                <w:szCs w:val="20"/>
                <w:lang w:val="fr-FR"/>
              </w:rPr>
              <w:t>Ouallam</w:t>
            </w:r>
            <w:proofErr w:type="spellEnd"/>
            <w:r w:rsidRPr="00614EF9">
              <w:rPr>
                <w:sz w:val="20"/>
                <w:szCs w:val="20"/>
                <w:lang w:val="fr-FR"/>
              </w:rPr>
              <w:t>)</w:t>
            </w:r>
          </w:p>
        </w:tc>
      </w:tr>
      <w:tr w:rsidR="007C757E" w:rsidRPr="00614EF9" w14:paraId="241C2D24" w14:textId="77777777" w:rsidTr="00CB5F05">
        <w:trPr>
          <w:jc w:val="center"/>
        </w:trPr>
        <w:tc>
          <w:tcPr>
            <w:cnfStyle w:val="001000000000" w:firstRow="0" w:lastRow="0" w:firstColumn="1" w:lastColumn="0" w:oddVBand="0" w:evenVBand="0" w:oddHBand="0" w:evenHBand="0" w:firstRowFirstColumn="0" w:firstRowLastColumn="0" w:lastRowFirstColumn="0" w:lastRowLastColumn="0"/>
            <w:tcW w:w="3200" w:type="dxa"/>
          </w:tcPr>
          <w:p w14:paraId="52D29854"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Bande(s) de repli proposée(s)</w:t>
            </w:r>
          </w:p>
        </w:tc>
        <w:tc>
          <w:tcPr>
            <w:tcW w:w="6722" w:type="dxa"/>
          </w:tcPr>
          <w:p w14:paraId="742AAC2D"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Extinction de la diffusion analogique et report des programmes sur les multiplex numériques exploités dans la portion 470–612 MHz</w:t>
            </w:r>
          </w:p>
        </w:tc>
      </w:tr>
      <w:tr w:rsidR="007C757E" w:rsidRPr="00614EF9" w14:paraId="28537410" w14:textId="77777777" w:rsidTr="00CB5F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67FC7C0B"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Contraintes de coordination frontalière / UIT</w:t>
            </w:r>
          </w:p>
        </w:tc>
        <w:tc>
          <w:tcPr>
            <w:tcW w:w="6722" w:type="dxa"/>
          </w:tcPr>
          <w:p w14:paraId="5C2F9427"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 xml:space="preserve">Modification du plan GE06 ; coordination avec les administrations voisines, en particulier pour les sites septentrionaux de </w:t>
            </w:r>
            <w:proofErr w:type="spellStart"/>
            <w:r w:rsidRPr="00614EF9">
              <w:rPr>
                <w:sz w:val="20"/>
                <w:szCs w:val="20"/>
                <w:lang w:val="fr-FR"/>
              </w:rPr>
              <w:t>Dirkou</w:t>
            </w:r>
            <w:proofErr w:type="spellEnd"/>
            <w:r w:rsidRPr="00614EF9">
              <w:rPr>
                <w:sz w:val="20"/>
                <w:szCs w:val="20"/>
                <w:lang w:val="fr-FR"/>
              </w:rPr>
              <w:t xml:space="preserve"> et d'</w:t>
            </w:r>
            <w:proofErr w:type="spellStart"/>
            <w:r w:rsidRPr="00614EF9">
              <w:rPr>
                <w:sz w:val="20"/>
                <w:szCs w:val="20"/>
                <w:lang w:val="fr-FR"/>
              </w:rPr>
              <w:t>Iférouane</w:t>
            </w:r>
            <w:proofErr w:type="spellEnd"/>
            <w:r w:rsidRPr="00614EF9">
              <w:rPr>
                <w:sz w:val="20"/>
                <w:szCs w:val="20"/>
                <w:lang w:val="fr-FR"/>
              </w:rPr>
              <w:t xml:space="preserve"> ; notification au Bureau des radiocommunications de l'UIT</w:t>
            </w:r>
          </w:p>
        </w:tc>
      </w:tr>
      <w:tr w:rsidR="007C757E" w:rsidRPr="00614EF9" w14:paraId="59E5F45E" w14:textId="77777777" w:rsidTr="00CB5F05">
        <w:trPr>
          <w:jc w:val="center"/>
        </w:trPr>
        <w:tc>
          <w:tcPr>
            <w:cnfStyle w:val="001000000000" w:firstRow="0" w:lastRow="0" w:firstColumn="1" w:lastColumn="0" w:oddVBand="0" w:evenVBand="0" w:oddHBand="0" w:evenHBand="0" w:firstRowFirstColumn="0" w:firstRowLastColumn="0" w:lastRowFirstColumn="0" w:lastRowLastColumn="0"/>
            <w:tcW w:w="3200" w:type="dxa"/>
          </w:tcPr>
          <w:p w14:paraId="24983FC3"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Coût estimé de la migration</w:t>
            </w:r>
          </w:p>
        </w:tc>
        <w:tc>
          <w:tcPr>
            <w:tcW w:w="6722" w:type="dxa"/>
          </w:tcPr>
          <w:p w14:paraId="7FD2ED49"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50 000 000 000 F CFA déclarés au titre de l'information et de l'accompagnement du public ; postes d'équipement sans objet dans le scénario d'extinction ; chiffrage en cours de vérification</w:t>
            </w:r>
          </w:p>
        </w:tc>
      </w:tr>
      <w:tr w:rsidR="007C757E" w:rsidRPr="00614EF9" w14:paraId="52C9AA6D" w14:textId="77777777" w:rsidTr="00CB5F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65DC94BC"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Mécanisme de financement</w:t>
            </w:r>
          </w:p>
        </w:tc>
        <w:tc>
          <w:tcPr>
            <w:tcW w:w="6722" w:type="dxa"/>
          </w:tcPr>
          <w:p w14:paraId="5A42E14A"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Principe du bénéficiaire-payeur, à la charge des attributaires de la bande libérée ; recours au fonds national de réaménagement du spectre pour l'information du public</w:t>
            </w:r>
          </w:p>
        </w:tc>
      </w:tr>
      <w:tr w:rsidR="007C757E" w:rsidRPr="00614EF9" w14:paraId="4E335F4B" w14:textId="77777777" w:rsidTr="00CB5F05">
        <w:trPr>
          <w:jc w:val="center"/>
        </w:trPr>
        <w:tc>
          <w:tcPr>
            <w:cnfStyle w:val="001000000000" w:firstRow="0" w:lastRow="0" w:firstColumn="1" w:lastColumn="0" w:oddVBand="0" w:evenVBand="0" w:oddHBand="0" w:evenHBand="0" w:firstRowFirstColumn="0" w:firstRowLastColumn="0" w:lastRowFirstColumn="0" w:lastRowLastColumn="0"/>
            <w:tcW w:w="3200" w:type="dxa"/>
          </w:tcPr>
          <w:p w14:paraId="1D9BE992"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Responsable du pilotage</w:t>
            </w:r>
          </w:p>
        </w:tc>
        <w:tc>
          <w:tcPr>
            <w:tcW w:w="6722" w:type="dxa"/>
          </w:tcPr>
          <w:p w14:paraId="015C54F1"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Direction des Radiocommunications — groupe de travail « volet 700 MHz »</w:t>
            </w:r>
          </w:p>
        </w:tc>
      </w:tr>
      <w:tr w:rsidR="007C757E" w:rsidRPr="00614EF9" w14:paraId="25EF14BB" w14:textId="77777777" w:rsidTr="00CB5F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0" w:type="dxa"/>
          </w:tcPr>
          <w:p w14:paraId="23DB8D80"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Échéance de libération</w:t>
            </w:r>
          </w:p>
        </w:tc>
        <w:tc>
          <w:tcPr>
            <w:tcW w:w="6722" w:type="dxa"/>
          </w:tcPr>
          <w:p w14:paraId="38D030DB" w14:textId="77777777" w:rsidR="003A2650" w:rsidRPr="00614EF9" w:rsidRDefault="009514E2">
            <w:pPr>
              <w:cnfStyle w:val="000000100000" w:firstRow="0" w:lastRow="0" w:firstColumn="0" w:lastColumn="0" w:oddVBand="0" w:evenVBand="0" w:oddHBand="1" w:evenHBand="0" w:firstRowFirstColumn="0" w:firstRowLastColumn="0" w:lastRowFirstColumn="0" w:lastRowLastColumn="0"/>
              <w:rPr>
                <w:sz w:val="20"/>
                <w:szCs w:val="20"/>
                <w:lang w:val="fr-FR"/>
              </w:rPr>
            </w:pPr>
            <w:r w:rsidRPr="00614EF9">
              <w:rPr>
                <w:sz w:val="20"/>
                <w:szCs w:val="20"/>
                <w:lang w:val="fr-FR"/>
              </w:rPr>
              <w:t>Deuxième trimestre 2028</w:t>
            </w:r>
          </w:p>
        </w:tc>
      </w:tr>
      <w:tr w:rsidR="007C757E" w:rsidRPr="00614EF9" w14:paraId="18CA928D" w14:textId="77777777" w:rsidTr="00CB5F05">
        <w:trPr>
          <w:jc w:val="center"/>
        </w:trPr>
        <w:tc>
          <w:tcPr>
            <w:cnfStyle w:val="001000000000" w:firstRow="0" w:lastRow="0" w:firstColumn="1" w:lastColumn="0" w:oddVBand="0" w:evenVBand="0" w:oddHBand="0" w:evenHBand="0" w:firstRowFirstColumn="0" w:firstRowLastColumn="0" w:lastRowFirstColumn="0" w:lastRowLastColumn="0"/>
            <w:tcW w:w="3200" w:type="dxa"/>
          </w:tcPr>
          <w:p w14:paraId="5FFB153C" w14:textId="77777777" w:rsidR="007C757E" w:rsidRPr="00614EF9" w:rsidRDefault="009514E2" w:rsidP="00CB5F05">
            <w:pPr>
              <w:spacing w:before="40" w:after="40"/>
              <w:rPr>
                <w:b w:val="0"/>
                <w:bCs w:val="0"/>
                <w:sz w:val="20"/>
                <w:szCs w:val="20"/>
                <w:lang w:val="fr-FR"/>
              </w:rPr>
            </w:pPr>
            <w:r w:rsidRPr="00614EF9">
              <w:rPr>
                <w:b w:val="0"/>
                <w:bCs w:val="0"/>
                <w:sz w:val="20"/>
                <w:szCs w:val="20"/>
                <w:lang w:val="fr-FR"/>
              </w:rPr>
              <w:t>État d’avancement</w:t>
            </w:r>
          </w:p>
        </w:tc>
        <w:tc>
          <w:tcPr>
            <w:tcW w:w="6722" w:type="dxa"/>
          </w:tcPr>
          <w:p w14:paraId="3E6A8DB1" w14:textId="77777777" w:rsidR="003A2650" w:rsidRPr="00614EF9" w:rsidRDefault="009514E2">
            <w:pPr>
              <w:cnfStyle w:val="000000000000" w:firstRow="0" w:lastRow="0" w:firstColumn="0" w:lastColumn="0" w:oddVBand="0" w:evenVBand="0" w:oddHBand="0" w:evenHBand="0" w:firstRowFirstColumn="0" w:firstRowLastColumn="0" w:lastRowFirstColumn="0" w:lastRowLastColumn="0"/>
              <w:rPr>
                <w:sz w:val="20"/>
                <w:szCs w:val="20"/>
                <w:lang w:val="fr-FR"/>
              </w:rPr>
            </w:pPr>
            <w:r w:rsidRPr="00614EF9">
              <w:rPr>
                <w:sz w:val="20"/>
                <w:szCs w:val="20"/>
                <w:lang w:val="fr-FR"/>
              </w:rPr>
              <w:t>Diagnostic établi ; notification aux assignataires prévue au premier trimestre 2027</w:t>
            </w:r>
          </w:p>
        </w:tc>
      </w:tr>
    </w:tbl>
    <w:p w14:paraId="2E64D722" w14:textId="77777777" w:rsidR="007C757E" w:rsidRPr="00614EF9" w:rsidRDefault="007C757E">
      <w:pPr>
        <w:rPr>
          <w:lang w:val="fr-FR"/>
        </w:rPr>
      </w:pPr>
    </w:p>
    <w:p w14:paraId="6D9DF7C2" w14:textId="77777777" w:rsidR="00AB7DA8" w:rsidRPr="00614EF9" w:rsidRDefault="00AB7DA8">
      <w:pPr>
        <w:rPr>
          <w:lang w:val="fr-FR"/>
        </w:rPr>
      </w:pPr>
    </w:p>
    <w:p w14:paraId="6036C775" w14:textId="77777777" w:rsidR="00AB7DA8" w:rsidRPr="00614EF9" w:rsidRDefault="00AB7DA8">
      <w:pPr>
        <w:rPr>
          <w:lang w:val="fr-FR"/>
        </w:rPr>
      </w:pPr>
    </w:p>
    <w:p w14:paraId="308EC89E" w14:textId="77777777" w:rsidR="00AB7DA8" w:rsidRPr="00614EF9" w:rsidRDefault="00AB7DA8">
      <w:pPr>
        <w:rPr>
          <w:lang w:val="fr-FR"/>
        </w:rPr>
      </w:pPr>
    </w:p>
    <w:p w14:paraId="70B32B90" w14:textId="77777777" w:rsidR="00AB7DA8" w:rsidRPr="00614EF9" w:rsidRDefault="00AB7DA8">
      <w:pPr>
        <w:rPr>
          <w:lang w:val="fr-FR"/>
        </w:rPr>
      </w:pPr>
    </w:p>
    <w:p w14:paraId="249B2F2C" w14:textId="77777777" w:rsidR="00AB7DA8" w:rsidRPr="00614EF9" w:rsidRDefault="00AB7DA8">
      <w:pPr>
        <w:rPr>
          <w:lang w:val="fr-FR"/>
        </w:rPr>
      </w:pPr>
    </w:p>
    <w:p w14:paraId="706D6833" w14:textId="77777777" w:rsidR="00AB7DA8" w:rsidRPr="00614EF9" w:rsidRDefault="00AB7DA8">
      <w:pPr>
        <w:rPr>
          <w:lang w:val="fr-FR"/>
        </w:rPr>
      </w:pPr>
    </w:p>
    <w:p w14:paraId="304355BA" w14:textId="77777777" w:rsidR="00AB7DA8" w:rsidRPr="00614EF9" w:rsidRDefault="00AB7DA8">
      <w:pPr>
        <w:rPr>
          <w:lang w:val="fr-FR"/>
        </w:rPr>
      </w:pPr>
    </w:p>
    <w:p w14:paraId="223C9B50" w14:textId="77777777" w:rsidR="00AB7DA8" w:rsidRPr="00614EF9" w:rsidRDefault="00AB7DA8">
      <w:pPr>
        <w:rPr>
          <w:lang w:val="fr-FR"/>
        </w:rPr>
      </w:pPr>
    </w:p>
    <w:p w14:paraId="0A1EFE45" w14:textId="77777777" w:rsidR="00AB7DA8" w:rsidRPr="00614EF9" w:rsidRDefault="00AB7DA8">
      <w:pPr>
        <w:rPr>
          <w:lang w:val="fr-FR"/>
        </w:rPr>
      </w:pPr>
    </w:p>
    <w:p w14:paraId="620D4500" w14:textId="77777777" w:rsidR="00AB7DA8" w:rsidRPr="00614EF9" w:rsidRDefault="00AB7DA8">
      <w:pPr>
        <w:rPr>
          <w:lang w:val="fr-FR"/>
        </w:rPr>
      </w:pPr>
    </w:p>
    <w:p w14:paraId="321D0A16" w14:textId="77777777" w:rsidR="00AB7DA8" w:rsidRPr="00614EF9" w:rsidRDefault="00AB7DA8">
      <w:pPr>
        <w:rPr>
          <w:lang w:val="fr-FR"/>
        </w:rPr>
      </w:pPr>
    </w:p>
    <w:p w14:paraId="1C40514E" w14:textId="254C6D47" w:rsidR="00756181" w:rsidRPr="00614EF9" w:rsidRDefault="00756181" w:rsidP="00756181">
      <w:pPr>
        <w:pStyle w:val="Titre3"/>
        <w:rPr>
          <w:lang w:val="fr-FR"/>
        </w:rPr>
      </w:pPr>
      <w:bookmarkStart w:id="285" w:name="_Toc240614464"/>
      <w:r w:rsidRPr="00614EF9">
        <w:rPr>
          <w:lang w:val="fr-FR"/>
        </w:rPr>
        <w:lastRenderedPageBreak/>
        <w:t>Bande 5925-6425 MHz</w:t>
      </w:r>
      <w:bookmarkEnd w:id="285"/>
    </w:p>
    <w:tbl>
      <w:tblPr>
        <w:tblStyle w:val="TableauGrille4-Accentuation3"/>
        <w:tblW w:w="9638" w:type="dxa"/>
        <w:tblLook w:val="04A0" w:firstRow="1" w:lastRow="0" w:firstColumn="1" w:lastColumn="0" w:noHBand="0" w:noVBand="1"/>
      </w:tblPr>
      <w:tblGrid>
        <w:gridCol w:w="3000"/>
        <w:gridCol w:w="6638"/>
      </w:tblGrid>
      <w:tr w:rsidR="00513799" w:rsidRPr="00614EF9" w14:paraId="4F7FF8E9" w14:textId="77777777" w:rsidTr="005137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3FC0C627" w14:textId="77777777" w:rsidR="00513799" w:rsidRPr="00614EF9" w:rsidRDefault="00513799" w:rsidP="009514E2">
            <w:pPr>
              <w:spacing w:line="248" w:lineRule="auto"/>
              <w:rPr>
                <w:sz w:val="20"/>
                <w:szCs w:val="20"/>
              </w:rPr>
            </w:pPr>
            <w:r w:rsidRPr="00614EF9">
              <w:rPr>
                <w:color w:val="FFFFFF"/>
                <w:sz w:val="20"/>
                <w:szCs w:val="20"/>
              </w:rPr>
              <w:t>Rubrique</w:t>
            </w:r>
          </w:p>
        </w:tc>
        <w:tc>
          <w:tcPr>
            <w:tcW w:w="6638" w:type="dxa"/>
          </w:tcPr>
          <w:p w14:paraId="617E90A5" w14:textId="77777777" w:rsidR="00513799" w:rsidRPr="00614EF9" w:rsidRDefault="00513799" w:rsidP="009514E2">
            <w:pPr>
              <w:spacing w:line="248" w:lineRule="auto"/>
              <w:cnfStyle w:val="100000000000" w:firstRow="1" w:lastRow="0" w:firstColumn="0" w:lastColumn="0" w:oddVBand="0" w:evenVBand="0" w:oddHBand="0" w:evenHBand="0" w:firstRowFirstColumn="0" w:firstRowLastColumn="0" w:lastRowFirstColumn="0" w:lastRowLastColumn="0"/>
              <w:rPr>
                <w:sz w:val="20"/>
                <w:szCs w:val="20"/>
              </w:rPr>
            </w:pPr>
            <w:r w:rsidRPr="00614EF9">
              <w:rPr>
                <w:color w:val="FFFFFF"/>
                <w:sz w:val="20"/>
                <w:szCs w:val="20"/>
              </w:rPr>
              <w:t>Contenu</w:t>
            </w:r>
          </w:p>
        </w:tc>
      </w:tr>
      <w:tr w:rsidR="00513799" w:rsidRPr="00614EF9" w14:paraId="0D8947C4"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B7CDCDB" w14:textId="77777777" w:rsidR="00513799" w:rsidRPr="00614EF9" w:rsidRDefault="00513799" w:rsidP="009514E2">
            <w:pPr>
              <w:spacing w:line="248" w:lineRule="auto"/>
              <w:rPr>
                <w:b w:val="0"/>
                <w:bCs w:val="0"/>
                <w:sz w:val="20"/>
                <w:szCs w:val="20"/>
              </w:rPr>
            </w:pPr>
            <w:r w:rsidRPr="00614EF9">
              <w:rPr>
                <w:b w:val="0"/>
                <w:bCs w:val="0"/>
                <w:sz w:val="20"/>
                <w:szCs w:val="20"/>
              </w:rPr>
              <w:t>Bande concernée</w:t>
            </w:r>
          </w:p>
        </w:tc>
        <w:tc>
          <w:tcPr>
            <w:tcW w:w="6638" w:type="dxa"/>
          </w:tcPr>
          <w:p w14:paraId="0031B214" w14:textId="77777777"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5 925–6 425 MHz (portion basse de la bande 6 GHz)</w:t>
            </w:r>
          </w:p>
        </w:tc>
      </w:tr>
      <w:tr w:rsidR="00513799" w:rsidRPr="00614EF9" w14:paraId="2999F1C2" w14:textId="77777777" w:rsidTr="00513799">
        <w:tc>
          <w:tcPr>
            <w:cnfStyle w:val="001000000000" w:firstRow="0" w:lastRow="0" w:firstColumn="1" w:lastColumn="0" w:oddVBand="0" w:evenVBand="0" w:oddHBand="0" w:evenHBand="0" w:firstRowFirstColumn="0" w:firstRowLastColumn="0" w:lastRowFirstColumn="0" w:lastRowLastColumn="0"/>
            <w:tcW w:w="3000" w:type="dxa"/>
          </w:tcPr>
          <w:p w14:paraId="6692DAE8" w14:textId="77777777" w:rsidR="00513799" w:rsidRPr="00614EF9" w:rsidRDefault="00513799" w:rsidP="009514E2">
            <w:pPr>
              <w:spacing w:line="248" w:lineRule="auto"/>
              <w:rPr>
                <w:b w:val="0"/>
                <w:bCs w:val="0"/>
                <w:sz w:val="20"/>
                <w:szCs w:val="20"/>
              </w:rPr>
            </w:pPr>
            <w:r w:rsidRPr="00614EF9">
              <w:rPr>
                <w:b w:val="0"/>
                <w:bCs w:val="0"/>
                <w:sz w:val="20"/>
                <w:szCs w:val="20"/>
              </w:rPr>
              <w:t>Nature de l'opération</w:t>
            </w:r>
          </w:p>
        </w:tc>
        <w:tc>
          <w:tcPr>
            <w:tcW w:w="6638" w:type="dxa"/>
          </w:tcPr>
          <w:p w14:paraId="2AE4E109" w14:textId="77777777" w:rsidR="00513799" w:rsidRPr="00614EF9" w:rsidRDefault="00513799"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Ouverture. La bande n'est pas libérée : elle est ouverte à un usage nouveau et sert de bande d'accueil aux réseaux migrés depuis les bandes 2,4 et 5 GHz et depuis la portion 3 400–3 600 MHz.</w:t>
            </w:r>
          </w:p>
        </w:tc>
      </w:tr>
      <w:tr w:rsidR="00513799" w:rsidRPr="00614EF9" w14:paraId="6967B09B"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11DC7100" w14:textId="77777777" w:rsidR="00513799" w:rsidRPr="00614EF9" w:rsidRDefault="00513799" w:rsidP="009514E2">
            <w:pPr>
              <w:spacing w:line="248" w:lineRule="auto"/>
              <w:rPr>
                <w:b w:val="0"/>
                <w:bCs w:val="0"/>
                <w:sz w:val="20"/>
                <w:szCs w:val="20"/>
              </w:rPr>
            </w:pPr>
            <w:r w:rsidRPr="00614EF9">
              <w:rPr>
                <w:b w:val="0"/>
                <w:bCs w:val="0"/>
                <w:sz w:val="20"/>
                <w:szCs w:val="20"/>
              </w:rPr>
              <w:t>Attribution antérieure / nouvelle attribution (PNAF)</w:t>
            </w:r>
          </w:p>
        </w:tc>
        <w:tc>
          <w:tcPr>
            <w:tcW w:w="6638" w:type="dxa"/>
          </w:tcPr>
          <w:p w14:paraId="50E7D874" w14:textId="299CD0FD"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Fixe et Fixe par satellite (Terre vers espace) / ouverture aux réseaux locaux radioélectriques.</w:t>
            </w:r>
          </w:p>
        </w:tc>
      </w:tr>
      <w:tr w:rsidR="00513799" w:rsidRPr="00614EF9" w14:paraId="7146BE60" w14:textId="77777777" w:rsidTr="00513799">
        <w:tc>
          <w:tcPr>
            <w:cnfStyle w:val="001000000000" w:firstRow="0" w:lastRow="0" w:firstColumn="1" w:lastColumn="0" w:oddVBand="0" w:evenVBand="0" w:oddHBand="0" w:evenHBand="0" w:firstRowFirstColumn="0" w:firstRowLastColumn="0" w:lastRowFirstColumn="0" w:lastRowLastColumn="0"/>
            <w:tcW w:w="3000" w:type="dxa"/>
          </w:tcPr>
          <w:p w14:paraId="49EF1BAD" w14:textId="77777777" w:rsidR="00513799" w:rsidRPr="00614EF9" w:rsidRDefault="00513799" w:rsidP="009514E2">
            <w:pPr>
              <w:spacing w:line="248" w:lineRule="auto"/>
              <w:rPr>
                <w:b w:val="0"/>
                <w:bCs w:val="0"/>
                <w:sz w:val="20"/>
                <w:szCs w:val="20"/>
              </w:rPr>
            </w:pPr>
            <w:r w:rsidRPr="00614EF9">
              <w:rPr>
                <w:b w:val="0"/>
                <w:bCs w:val="0"/>
                <w:sz w:val="20"/>
                <w:szCs w:val="20"/>
              </w:rPr>
              <w:t>Assignataires impactés (nombre, catégories)</w:t>
            </w:r>
          </w:p>
        </w:tc>
        <w:tc>
          <w:tcPr>
            <w:tcW w:w="6638" w:type="dxa"/>
          </w:tcPr>
          <w:p w14:paraId="75058EDE" w14:textId="77777777" w:rsidR="00513799" w:rsidRPr="00614EF9" w:rsidRDefault="00513799"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Bande d'accueil. Les réseaux appelés à y migrer représentent 85 sites, 224 secteurs, 93 liaisons point à point et 640 terminaux d'abonnés, répartis entre Celtel Niger (62 sites), Liptinfor Niger (21 sites) et AFR-IX Telecom (2 sites), auxquels s'ajoutent les deux points d'accès de Liptinfor venant de la bande 3 400–3 600 MHz. Les titulaires à protéger sont les faisceaux hertziens du service fixe et les stations terriennes du service fixe par satellite en émission.</w:t>
            </w:r>
          </w:p>
        </w:tc>
      </w:tr>
      <w:tr w:rsidR="00513799" w:rsidRPr="00614EF9" w14:paraId="0A3A0E92"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42026016" w14:textId="77777777" w:rsidR="00513799" w:rsidRPr="00614EF9" w:rsidRDefault="00513799" w:rsidP="009514E2">
            <w:pPr>
              <w:spacing w:line="248" w:lineRule="auto"/>
              <w:rPr>
                <w:b w:val="0"/>
                <w:bCs w:val="0"/>
                <w:sz w:val="20"/>
                <w:szCs w:val="20"/>
              </w:rPr>
            </w:pPr>
            <w:r w:rsidRPr="00614EF9">
              <w:rPr>
                <w:b w:val="0"/>
                <w:bCs w:val="0"/>
                <w:sz w:val="20"/>
                <w:szCs w:val="20"/>
              </w:rPr>
              <w:t>Bande(s) de repli proposée(s)</w:t>
            </w:r>
          </w:p>
        </w:tc>
        <w:tc>
          <w:tcPr>
            <w:tcW w:w="6638" w:type="dxa"/>
          </w:tcPr>
          <w:p w14:paraId="702D0587" w14:textId="000A46B7"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 xml:space="preserve">Sans objet : la bande est la destination et non l'origine. </w:t>
            </w:r>
          </w:p>
        </w:tc>
      </w:tr>
      <w:tr w:rsidR="00513799" w:rsidRPr="00614EF9" w14:paraId="550B671E" w14:textId="77777777" w:rsidTr="00513799">
        <w:tc>
          <w:tcPr>
            <w:cnfStyle w:val="001000000000" w:firstRow="0" w:lastRow="0" w:firstColumn="1" w:lastColumn="0" w:oddVBand="0" w:evenVBand="0" w:oddHBand="0" w:evenHBand="0" w:firstRowFirstColumn="0" w:firstRowLastColumn="0" w:lastRowFirstColumn="0" w:lastRowLastColumn="0"/>
            <w:tcW w:w="3000" w:type="dxa"/>
          </w:tcPr>
          <w:p w14:paraId="704DBA8C" w14:textId="77777777" w:rsidR="00513799" w:rsidRPr="00614EF9" w:rsidRDefault="00513799" w:rsidP="009514E2">
            <w:pPr>
              <w:spacing w:line="248" w:lineRule="auto"/>
              <w:rPr>
                <w:b w:val="0"/>
                <w:bCs w:val="0"/>
                <w:sz w:val="20"/>
                <w:szCs w:val="20"/>
              </w:rPr>
            </w:pPr>
            <w:r w:rsidRPr="00614EF9">
              <w:rPr>
                <w:b w:val="0"/>
                <w:bCs w:val="0"/>
                <w:sz w:val="20"/>
                <w:szCs w:val="20"/>
              </w:rPr>
              <w:t>Contraintes de coordination frontalière / UIT</w:t>
            </w:r>
          </w:p>
        </w:tc>
        <w:tc>
          <w:tcPr>
            <w:tcW w:w="6638" w:type="dxa"/>
          </w:tcPr>
          <w:p w14:paraId="70FA7FF2" w14:textId="254794ED" w:rsidR="00513799" w:rsidRPr="00614EF9" w:rsidRDefault="00513799"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Aucune modification de plan international ni notification au titre de l'article 11 n'est requise, l'usage étant partagé et non exclusif. La protection des titulaires repose entièrement sur le système de coordination automatisée, qui suppose la constitution préalable d'une base de données des assignations du service fixe et des stations terriennes. Un risque de réponse image vers les stations terriennes en bande C doit être pris en compte.</w:t>
            </w:r>
          </w:p>
        </w:tc>
      </w:tr>
      <w:tr w:rsidR="00513799" w:rsidRPr="00614EF9" w14:paraId="3BF61914"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317FBBA5" w14:textId="77777777" w:rsidR="00513799" w:rsidRPr="00614EF9" w:rsidRDefault="00513799" w:rsidP="009514E2">
            <w:pPr>
              <w:spacing w:line="248" w:lineRule="auto"/>
              <w:rPr>
                <w:b w:val="0"/>
                <w:bCs w:val="0"/>
                <w:sz w:val="20"/>
                <w:szCs w:val="20"/>
              </w:rPr>
            </w:pPr>
            <w:r w:rsidRPr="00614EF9">
              <w:rPr>
                <w:b w:val="0"/>
                <w:bCs w:val="0"/>
                <w:sz w:val="20"/>
                <w:szCs w:val="20"/>
              </w:rPr>
              <w:t>Coût estimé de la migration</w:t>
            </w:r>
          </w:p>
        </w:tc>
        <w:tc>
          <w:tcPr>
            <w:tcW w:w="6638" w:type="dxa"/>
          </w:tcPr>
          <w:p w14:paraId="0C4E894D" w14:textId="3A102E2A"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Montants à confirmer</w:t>
            </w:r>
          </w:p>
        </w:tc>
      </w:tr>
      <w:tr w:rsidR="00513799" w:rsidRPr="00614EF9" w14:paraId="00B4BD29" w14:textId="77777777" w:rsidTr="00513799">
        <w:tc>
          <w:tcPr>
            <w:cnfStyle w:val="001000000000" w:firstRow="0" w:lastRow="0" w:firstColumn="1" w:lastColumn="0" w:oddVBand="0" w:evenVBand="0" w:oddHBand="0" w:evenHBand="0" w:firstRowFirstColumn="0" w:firstRowLastColumn="0" w:lastRowFirstColumn="0" w:lastRowLastColumn="0"/>
            <w:tcW w:w="3000" w:type="dxa"/>
          </w:tcPr>
          <w:p w14:paraId="6B2CE064" w14:textId="77777777" w:rsidR="00513799" w:rsidRPr="00614EF9" w:rsidRDefault="00513799" w:rsidP="009514E2">
            <w:pPr>
              <w:spacing w:line="248" w:lineRule="auto"/>
              <w:rPr>
                <w:b w:val="0"/>
                <w:bCs w:val="0"/>
                <w:sz w:val="20"/>
                <w:szCs w:val="20"/>
              </w:rPr>
            </w:pPr>
            <w:r w:rsidRPr="00614EF9">
              <w:rPr>
                <w:b w:val="0"/>
                <w:bCs w:val="0"/>
                <w:sz w:val="20"/>
                <w:szCs w:val="20"/>
              </w:rPr>
              <w:t>Mécanisme de financement</w:t>
            </w:r>
          </w:p>
        </w:tc>
        <w:tc>
          <w:tcPr>
            <w:tcW w:w="6638" w:type="dxa"/>
          </w:tcPr>
          <w:p w14:paraId="33A94B26" w14:textId="19C7D82D" w:rsidR="00513799" w:rsidRPr="00614EF9" w:rsidRDefault="00513799"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Le financement repose donc sur le fonds national de réaménagement du spectre, alimenté par une fraction des produits de la réallocation des autres bandes. Ce point appelle une décision expresse du comité de pilotage.</w:t>
            </w:r>
          </w:p>
        </w:tc>
      </w:tr>
      <w:tr w:rsidR="00513799" w:rsidRPr="00614EF9" w14:paraId="085CBFD4"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30C984E5" w14:textId="77777777" w:rsidR="00513799" w:rsidRPr="00614EF9" w:rsidRDefault="00513799" w:rsidP="009514E2">
            <w:pPr>
              <w:spacing w:line="248" w:lineRule="auto"/>
              <w:rPr>
                <w:b w:val="0"/>
                <w:bCs w:val="0"/>
                <w:sz w:val="20"/>
                <w:szCs w:val="20"/>
              </w:rPr>
            </w:pPr>
            <w:r w:rsidRPr="00614EF9">
              <w:rPr>
                <w:b w:val="0"/>
                <w:bCs w:val="0"/>
                <w:sz w:val="20"/>
                <w:szCs w:val="20"/>
              </w:rPr>
              <w:t>Responsable du pilotage</w:t>
            </w:r>
          </w:p>
        </w:tc>
        <w:tc>
          <w:tcPr>
            <w:tcW w:w="6638" w:type="dxa"/>
          </w:tcPr>
          <w:p w14:paraId="3DFC051B" w14:textId="2C7CFCBA"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 xml:space="preserve">Direction des Radiocommunications </w:t>
            </w:r>
          </w:p>
        </w:tc>
      </w:tr>
      <w:tr w:rsidR="00513799" w:rsidRPr="00614EF9" w14:paraId="4CA812A0" w14:textId="77777777" w:rsidTr="00513799">
        <w:tc>
          <w:tcPr>
            <w:cnfStyle w:val="001000000000" w:firstRow="0" w:lastRow="0" w:firstColumn="1" w:lastColumn="0" w:oddVBand="0" w:evenVBand="0" w:oddHBand="0" w:evenHBand="0" w:firstRowFirstColumn="0" w:firstRowLastColumn="0" w:lastRowFirstColumn="0" w:lastRowLastColumn="0"/>
            <w:tcW w:w="3000" w:type="dxa"/>
          </w:tcPr>
          <w:p w14:paraId="6937F02B" w14:textId="77777777" w:rsidR="00513799" w:rsidRPr="00614EF9" w:rsidRDefault="00513799" w:rsidP="009514E2">
            <w:pPr>
              <w:spacing w:line="248" w:lineRule="auto"/>
              <w:rPr>
                <w:b w:val="0"/>
                <w:bCs w:val="0"/>
                <w:sz w:val="20"/>
                <w:szCs w:val="20"/>
              </w:rPr>
            </w:pPr>
            <w:r w:rsidRPr="00614EF9">
              <w:rPr>
                <w:b w:val="0"/>
                <w:bCs w:val="0"/>
                <w:sz w:val="20"/>
                <w:szCs w:val="20"/>
              </w:rPr>
              <w:t>Échéance de libération</w:t>
            </w:r>
          </w:p>
        </w:tc>
        <w:tc>
          <w:tcPr>
            <w:tcW w:w="6638" w:type="dxa"/>
          </w:tcPr>
          <w:p w14:paraId="22059EC1" w14:textId="51F83885" w:rsidR="00513799" w:rsidRPr="00614EF9" w:rsidRDefault="00513799"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 xml:space="preserve">Sans objet au sens strict : la bande n'est pas libérée. L'échéance porte sur la migration des réseaux, qui est conditionnelle. Le délai ne court qu'à compter de la réunion effective des prérequis : règles techniques définitives, système de coordination automatisée opérationnel, équipements homologués et disponibles, financement arrêté. </w:t>
            </w:r>
          </w:p>
        </w:tc>
      </w:tr>
      <w:tr w:rsidR="00513799" w:rsidRPr="00614EF9" w14:paraId="0726D2D6" w14:textId="77777777" w:rsidTr="00513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66DF6D06" w14:textId="77777777" w:rsidR="00513799" w:rsidRPr="00614EF9" w:rsidRDefault="00513799" w:rsidP="009514E2">
            <w:pPr>
              <w:spacing w:line="248" w:lineRule="auto"/>
              <w:rPr>
                <w:b w:val="0"/>
                <w:bCs w:val="0"/>
                <w:sz w:val="20"/>
                <w:szCs w:val="20"/>
              </w:rPr>
            </w:pPr>
            <w:r w:rsidRPr="00614EF9">
              <w:rPr>
                <w:b w:val="0"/>
                <w:bCs w:val="0"/>
                <w:sz w:val="20"/>
                <w:szCs w:val="20"/>
              </w:rPr>
              <w:t>État d'avancement</w:t>
            </w:r>
          </w:p>
        </w:tc>
        <w:tc>
          <w:tcPr>
            <w:tcW w:w="6638" w:type="dxa"/>
          </w:tcPr>
          <w:p w14:paraId="24666469" w14:textId="3A9D3510" w:rsidR="00513799" w:rsidRPr="00614EF9" w:rsidRDefault="00513799"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 xml:space="preserve">Troisième rang de l'ordre de priorité. Les conditions techniques d'exploitation sont à élaborer en phase 2. </w:t>
            </w:r>
          </w:p>
        </w:tc>
      </w:tr>
    </w:tbl>
    <w:p w14:paraId="5CFDC2AF" w14:textId="77777777" w:rsidR="00756181" w:rsidRPr="00614EF9" w:rsidRDefault="00756181">
      <w:pPr>
        <w:rPr>
          <w:lang w:val="fr-FR"/>
        </w:rPr>
      </w:pPr>
    </w:p>
    <w:p w14:paraId="6199AE0A" w14:textId="77777777" w:rsidR="00756181" w:rsidRPr="00614EF9" w:rsidRDefault="00756181">
      <w:pPr>
        <w:rPr>
          <w:lang w:val="fr-FR"/>
        </w:rPr>
      </w:pPr>
    </w:p>
    <w:p w14:paraId="6AB96E5A" w14:textId="77777777" w:rsidR="00F5670A" w:rsidRPr="00614EF9" w:rsidRDefault="00F5670A" w:rsidP="00F5670A">
      <w:pPr>
        <w:pStyle w:val="Titre3"/>
        <w:rPr>
          <w:lang w:val="fr-FR"/>
        </w:rPr>
      </w:pPr>
      <w:bookmarkStart w:id="286" w:name="_Toc240614465"/>
      <w:r w:rsidRPr="00614EF9">
        <w:rPr>
          <w:lang w:val="fr-FR"/>
        </w:rPr>
        <w:lastRenderedPageBreak/>
        <w:t>Bande 3,5 GHz</w:t>
      </w:r>
      <w:bookmarkEnd w:id="286"/>
    </w:p>
    <w:tbl>
      <w:tblPr>
        <w:tblStyle w:val="TableauGrille4-Accentuation3"/>
        <w:tblW w:w="9638" w:type="dxa"/>
        <w:tblLook w:val="04A0" w:firstRow="1" w:lastRow="0" w:firstColumn="1" w:lastColumn="0" w:noHBand="0" w:noVBand="1"/>
      </w:tblPr>
      <w:tblGrid>
        <w:gridCol w:w="3000"/>
        <w:gridCol w:w="6638"/>
      </w:tblGrid>
      <w:tr w:rsidR="00756181" w:rsidRPr="00614EF9" w14:paraId="3868AC08" w14:textId="77777777" w:rsidTr="007561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9BD6AE7" w14:textId="77777777" w:rsidR="00756181" w:rsidRPr="00614EF9" w:rsidRDefault="00756181" w:rsidP="009514E2">
            <w:pPr>
              <w:spacing w:line="248" w:lineRule="auto"/>
              <w:rPr>
                <w:sz w:val="20"/>
                <w:szCs w:val="20"/>
              </w:rPr>
            </w:pPr>
            <w:r w:rsidRPr="00614EF9">
              <w:rPr>
                <w:color w:val="FFFFFF"/>
                <w:sz w:val="20"/>
                <w:szCs w:val="20"/>
              </w:rPr>
              <w:t>Rubrique</w:t>
            </w:r>
          </w:p>
        </w:tc>
        <w:tc>
          <w:tcPr>
            <w:tcW w:w="6638" w:type="dxa"/>
          </w:tcPr>
          <w:p w14:paraId="62BAEED1" w14:textId="77777777" w:rsidR="00756181" w:rsidRPr="00614EF9" w:rsidRDefault="00756181" w:rsidP="009514E2">
            <w:pPr>
              <w:spacing w:line="248" w:lineRule="auto"/>
              <w:cnfStyle w:val="100000000000" w:firstRow="1" w:lastRow="0" w:firstColumn="0" w:lastColumn="0" w:oddVBand="0" w:evenVBand="0" w:oddHBand="0" w:evenHBand="0" w:firstRowFirstColumn="0" w:firstRowLastColumn="0" w:lastRowFirstColumn="0" w:lastRowLastColumn="0"/>
              <w:rPr>
                <w:sz w:val="20"/>
                <w:szCs w:val="20"/>
              </w:rPr>
            </w:pPr>
            <w:r w:rsidRPr="00614EF9">
              <w:rPr>
                <w:color w:val="FFFFFF"/>
                <w:sz w:val="20"/>
                <w:szCs w:val="20"/>
              </w:rPr>
              <w:t>Contenu</w:t>
            </w:r>
          </w:p>
        </w:tc>
      </w:tr>
      <w:tr w:rsidR="00756181" w:rsidRPr="00614EF9" w14:paraId="76FC7034"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29C7C29" w14:textId="77777777" w:rsidR="00756181" w:rsidRPr="00614EF9" w:rsidRDefault="00756181" w:rsidP="009514E2">
            <w:pPr>
              <w:spacing w:line="248" w:lineRule="auto"/>
              <w:rPr>
                <w:b w:val="0"/>
                <w:bCs w:val="0"/>
                <w:sz w:val="20"/>
                <w:szCs w:val="20"/>
              </w:rPr>
            </w:pPr>
            <w:r w:rsidRPr="00614EF9">
              <w:rPr>
                <w:b w:val="0"/>
                <w:bCs w:val="0"/>
                <w:sz w:val="20"/>
                <w:szCs w:val="20"/>
              </w:rPr>
              <w:t>Bande concernée</w:t>
            </w:r>
          </w:p>
        </w:tc>
        <w:tc>
          <w:tcPr>
            <w:tcW w:w="6638" w:type="dxa"/>
          </w:tcPr>
          <w:p w14:paraId="6853EEC8" w14:textId="77777777"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3 400–3 600 MHz (bande 3,5 GHz)</w:t>
            </w:r>
          </w:p>
        </w:tc>
      </w:tr>
      <w:tr w:rsidR="00756181" w:rsidRPr="00614EF9" w14:paraId="4A68E98C" w14:textId="77777777" w:rsidTr="00756181">
        <w:tc>
          <w:tcPr>
            <w:cnfStyle w:val="001000000000" w:firstRow="0" w:lastRow="0" w:firstColumn="1" w:lastColumn="0" w:oddVBand="0" w:evenVBand="0" w:oddHBand="0" w:evenHBand="0" w:firstRowFirstColumn="0" w:firstRowLastColumn="0" w:lastRowFirstColumn="0" w:lastRowLastColumn="0"/>
            <w:tcW w:w="3000" w:type="dxa"/>
          </w:tcPr>
          <w:p w14:paraId="4D697D44" w14:textId="77777777" w:rsidR="00756181" w:rsidRPr="00614EF9" w:rsidRDefault="00756181" w:rsidP="009514E2">
            <w:pPr>
              <w:spacing w:line="248" w:lineRule="auto"/>
              <w:rPr>
                <w:b w:val="0"/>
                <w:bCs w:val="0"/>
                <w:sz w:val="20"/>
                <w:szCs w:val="20"/>
              </w:rPr>
            </w:pPr>
            <w:r w:rsidRPr="00614EF9">
              <w:rPr>
                <w:b w:val="0"/>
                <w:bCs w:val="0"/>
                <w:sz w:val="20"/>
                <w:szCs w:val="20"/>
              </w:rPr>
              <w:t>Nature de l'opération</w:t>
            </w:r>
          </w:p>
        </w:tc>
        <w:tc>
          <w:tcPr>
            <w:tcW w:w="6638" w:type="dxa"/>
          </w:tcPr>
          <w:p w14:paraId="62F775A3" w14:textId="7B37A30C" w:rsidR="00756181" w:rsidRPr="00614EF9" w:rsidRDefault="00756181"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Seule la portion 3 400–3 600 MHz est réaffectée au service mobile. La portion supérieure demeure au service fixe par satellite et fait l'objet de mesures de protection contre les émissions en canal adjacent.</w:t>
            </w:r>
          </w:p>
        </w:tc>
      </w:tr>
      <w:tr w:rsidR="00756181" w:rsidRPr="00614EF9" w14:paraId="744E1E82"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35D478F3" w14:textId="77777777" w:rsidR="00756181" w:rsidRPr="00614EF9" w:rsidRDefault="00756181" w:rsidP="009514E2">
            <w:pPr>
              <w:spacing w:line="248" w:lineRule="auto"/>
              <w:rPr>
                <w:b w:val="0"/>
                <w:bCs w:val="0"/>
                <w:sz w:val="20"/>
                <w:szCs w:val="20"/>
              </w:rPr>
            </w:pPr>
            <w:r w:rsidRPr="00614EF9">
              <w:rPr>
                <w:b w:val="0"/>
                <w:bCs w:val="0"/>
                <w:sz w:val="20"/>
                <w:szCs w:val="20"/>
              </w:rPr>
              <w:t>Attribution antérieure / nouvelle attribution (PNAF)</w:t>
            </w:r>
          </w:p>
        </w:tc>
        <w:tc>
          <w:tcPr>
            <w:tcW w:w="6638" w:type="dxa"/>
          </w:tcPr>
          <w:p w14:paraId="3330DAFE" w14:textId="77777777"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Fixe / Service mobile – applications IMT</w:t>
            </w:r>
          </w:p>
        </w:tc>
      </w:tr>
      <w:tr w:rsidR="00756181" w:rsidRPr="00614EF9" w14:paraId="131B76BC" w14:textId="77777777" w:rsidTr="00756181">
        <w:tc>
          <w:tcPr>
            <w:cnfStyle w:val="001000000000" w:firstRow="0" w:lastRow="0" w:firstColumn="1" w:lastColumn="0" w:oddVBand="0" w:evenVBand="0" w:oddHBand="0" w:evenHBand="0" w:firstRowFirstColumn="0" w:firstRowLastColumn="0" w:lastRowFirstColumn="0" w:lastRowLastColumn="0"/>
            <w:tcW w:w="3000" w:type="dxa"/>
          </w:tcPr>
          <w:p w14:paraId="73F55211" w14:textId="77777777" w:rsidR="00756181" w:rsidRPr="00614EF9" w:rsidRDefault="00756181" w:rsidP="009514E2">
            <w:pPr>
              <w:spacing w:line="248" w:lineRule="auto"/>
              <w:rPr>
                <w:b w:val="0"/>
                <w:bCs w:val="0"/>
                <w:sz w:val="20"/>
                <w:szCs w:val="20"/>
              </w:rPr>
            </w:pPr>
            <w:r w:rsidRPr="00614EF9">
              <w:rPr>
                <w:b w:val="0"/>
                <w:bCs w:val="0"/>
                <w:sz w:val="20"/>
                <w:szCs w:val="20"/>
              </w:rPr>
              <w:t>Assignataires impactés (nombre, catégories)</w:t>
            </w:r>
          </w:p>
        </w:tc>
        <w:tc>
          <w:tcPr>
            <w:tcW w:w="6638" w:type="dxa"/>
          </w:tcPr>
          <w:p w14:paraId="255A4526" w14:textId="77777777" w:rsidR="00756181" w:rsidRPr="00614EF9" w:rsidRDefault="00756181"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Un assignataire à migrer : Liptinfor Niger, au titre de deux points d'accès hertzien fixe exploités à 3 440 et 3 525 MHz, desservant huit abonnés. AFR-IX Telecom a déjà migré son réseau hors de la bande vers 5 GHz. Quarante-six stations terriennes du service fixe par satellite sont par ailleurs à protéger, sans être migrées : Celtel Niger (19), Moov Africa Niger (19) et Télédiffusion du Niger (8).</w:t>
            </w:r>
          </w:p>
        </w:tc>
      </w:tr>
      <w:tr w:rsidR="00756181" w:rsidRPr="00614EF9" w14:paraId="1B40AC3A"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1FA6B90E" w14:textId="77777777" w:rsidR="00756181" w:rsidRPr="00614EF9" w:rsidRDefault="00756181" w:rsidP="009514E2">
            <w:pPr>
              <w:spacing w:line="248" w:lineRule="auto"/>
              <w:rPr>
                <w:b w:val="0"/>
                <w:bCs w:val="0"/>
                <w:sz w:val="20"/>
                <w:szCs w:val="20"/>
              </w:rPr>
            </w:pPr>
            <w:r w:rsidRPr="00614EF9">
              <w:rPr>
                <w:b w:val="0"/>
                <w:bCs w:val="0"/>
                <w:sz w:val="20"/>
                <w:szCs w:val="20"/>
              </w:rPr>
              <w:t>Bande(s) de repli proposée(s)</w:t>
            </w:r>
          </w:p>
        </w:tc>
        <w:tc>
          <w:tcPr>
            <w:tcW w:w="6638" w:type="dxa"/>
          </w:tcPr>
          <w:p w14:paraId="5A160EBF" w14:textId="19438031"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5 925–6 425 MHz, en régime de puissance standard, conformément au Tableau 12.</w:t>
            </w:r>
          </w:p>
        </w:tc>
      </w:tr>
      <w:tr w:rsidR="00756181" w:rsidRPr="00614EF9" w14:paraId="0F809635" w14:textId="77777777" w:rsidTr="00756181">
        <w:tc>
          <w:tcPr>
            <w:cnfStyle w:val="001000000000" w:firstRow="0" w:lastRow="0" w:firstColumn="1" w:lastColumn="0" w:oddVBand="0" w:evenVBand="0" w:oddHBand="0" w:evenHBand="0" w:firstRowFirstColumn="0" w:firstRowLastColumn="0" w:lastRowFirstColumn="0" w:lastRowLastColumn="0"/>
            <w:tcW w:w="3000" w:type="dxa"/>
          </w:tcPr>
          <w:p w14:paraId="1B1BE3B2" w14:textId="77777777" w:rsidR="00756181" w:rsidRPr="00614EF9" w:rsidRDefault="00756181" w:rsidP="009514E2">
            <w:pPr>
              <w:spacing w:line="248" w:lineRule="auto"/>
              <w:rPr>
                <w:b w:val="0"/>
                <w:bCs w:val="0"/>
                <w:sz w:val="20"/>
                <w:szCs w:val="20"/>
              </w:rPr>
            </w:pPr>
            <w:r w:rsidRPr="00614EF9">
              <w:rPr>
                <w:b w:val="0"/>
                <w:bCs w:val="0"/>
                <w:sz w:val="20"/>
                <w:szCs w:val="20"/>
              </w:rPr>
              <w:t>Contraintes de coordination frontalière / UIT</w:t>
            </w:r>
          </w:p>
        </w:tc>
        <w:tc>
          <w:tcPr>
            <w:tcW w:w="6638" w:type="dxa"/>
          </w:tcPr>
          <w:p w14:paraId="17FAE71A" w14:textId="2076FB06" w:rsidR="00756181" w:rsidRPr="00614EF9" w:rsidRDefault="00756181"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 xml:space="preserve">Aucune modification de plan international n'est requise. Coordination bilatérale à engager avec les administrations frontalières exploitant la même portion </w:t>
            </w:r>
          </w:p>
        </w:tc>
      </w:tr>
      <w:tr w:rsidR="00756181" w:rsidRPr="00614EF9" w14:paraId="7B00A0AE"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530F26DA" w14:textId="77777777" w:rsidR="00756181" w:rsidRPr="00614EF9" w:rsidRDefault="00756181" w:rsidP="009514E2">
            <w:pPr>
              <w:spacing w:line="248" w:lineRule="auto"/>
              <w:rPr>
                <w:b w:val="0"/>
                <w:bCs w:val="0"/>
                <w:sz w:val="20"/>
                <w:szCs w:val="20"/>
              </w:rPr>
            </w:pPr>
            <w:r w:rsidRPr="00614EF9">
              <w:rPr>
                <w:b w:val="0"/>
                <w:bCs w:val="0"/>
                <w:sz w:val="20"/>
                <w:szCs w:val="20"/>
              </w:rPr>
              <w:t>Coût estimé de la migration</w:t>
            </w:r>
          </w:p>
        </w:tc>
        <w:tc>
          <w:tcPr>
            <w:tcW w:w="6638" w:type="dxa"/>
          </w:tcPr>
          <w:p w14:paraId="07524A7F" w14:textId="36046997"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Montants à confirmer. Le coût des mesures de protection des stations terriennes (filtres et zones de coordination) n'est pas chiffré.</w:t>
            </w:r>
          </w:p>
        </w:tc>
      </w:tr>
      <w:tr w:rsidR="00756181" w:rsidRPr="00614EF9" w14:paraId="03F5AFDB" w14:textId="77777777" w:rsidTr="00756181">
        <w:tc>
          <w:tcPr>
            <w:cnfStyle w:val="001000000000" w:firstRow="0" w:lastRow="0" w:firstColumn="1" w:lastColumn="0" w:oddVBand="0" w:evenVBand="0" w:oddHBand="0" w:evenHBand="0" w:firstRowFirstColumn="0" w:firstRowLastColumn="0" w:lastRowFirstColumn="0" w:lastRowLastColumn="0"/>
            <w:tcW w:w="3000" w:type="dxa"/>
          </w:tcPr>
          <w:p w14:paraId="62213C67" w14:textId="77777777" w:rsidR="00756181" w:rsidRPr="00614EF9" w:rsidRDefault="00756181" w:rsidP="009514E2">
            <w:pPr>
              <w:spacing w:line="248" w:lineRule="auto"/>
              <w:rPr>
                <w:b w:val="0"/>
                <w:bCs w:val="0"/>
                <w:sz w:val="20"/>
                <w:szCs w:val="20"/>
              </w:rPr>
            </w:pPr>
            <w:r w:rsidRPr="00614EF9">
              <w:rPr>
                <w:b w:val="0"/>
                <w:bCs w:val="0"/>
                <w:sz w:val="20"/>
                <w:szCs w:val="20"/>
              </w:rPr>
              <w:t>Mécanisme de financement</w:t>
            </w:r>
          </w:p>
        </w:tc>
        <w:tc>
          <w:tcPr>
            <w:tcW w:w="6638" w:type="dxa"/>
          </w:tcPr>
          <w:p w14:paraId="30172BBD" w14:textId="555927A8" w:rsidR="00756181" w:rsidRPr="00614EF9" w:rsidRDefault="00756181"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Principe du bénéficiaire-payeur, à la charge des attributaires de la bande libérée, la contribution étant consignée préalablement à l'attribution. Recours au fonds national de réaménagement du spectre pour les coûts d'intérêt général.</w:t>
            </w:r>
          </w:p>
        </w:tc>
      </w:tr>
      <w:tr w:rsidR="00756181" w:rsidRPr="00614EF9" w14:paraId="6A769A47"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03680EE6" w14:textId="77777777" w:rsidR="00756181" w:rsidRPr="00614EF9" w:rsidRDefault="00756181" w:rsidP="009514E2">
            <w:pPr>
              <w:spacing w:line="248" w:lineRule="auto"/>
              <w:rPr>
                <w:b w:val="0"/>
                <w:bCs w:val="0"/>
                <w:sz w:val="20"/>
                <w:szCs w:val="20"/>
              </w:rPr>
            </w:pPr>
            <w:r w:rsidRPr="00614EF9">
              <w:rPr>
                <w:b w:val="0"/>
                <w:bCs w:val="0"/>
                <w:sz w:val="20"/>
                <w:szCs w:val="20"/>
              </w:rPr>
              <w:t>Responsable du pilotage</w:t>
            </w:r>
          </w:p>
        </w:tc>
        <w:tc>
          <w:tcPr>
            <w:tcW w:w="6638" w:type="dxa"/>
          </w:tcPr>
          <w:p w14:paraId="4A1032B8" w14:textId="0F88CBCE"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 xml:space="preserve">Direction des Radiocommunications </w:t>
            </w:r>
          </w:p>
        </w:tc>
      </w:tr>
      <w:tr w:rsidR="00756181" w:rsidRPr="00614EF9" w14:paraId="14C2EEC1" w14:textId="77777777" w:rsidTr="00756181">
        <w:tc>
          <w:tcPr>
            <w:cnfStyle w:val="001000000000" w:firstRow="0" w:lastRow="0" w:firstColumn="1" w:lastColumn="0" w:oddVBand="0" w:evenVBand="0" w:oddHBand="0" w:evenHBand="0" w:firstRowFirstColumn="0" w:firstRowLastColumn="0" w:lastRowFirstColumn="0" w:lastRowLastColumn="0"/>
            <w:tcW w:w="3000" w:type="dxa"/>
          </w:tcPr>
          <w:p w14:paraId="63098309" w14:textId="77777777" w:rsidR="00756181" w:rsidRPr="00614EF9" w:rsidRDefault="00756181" w:rsidP="009514E2">
            <w:pPr>
              <w:spacing w:line="248" w:lineRule="auto"/>
              <w:rPr>
                <w:b w:val="0"/>
                <w:bCs w:val="0"/>
                <w:sz w:val="20"/>
                <w:szCs w:val="20"/>
              </w:rPr>
            </w:pPr>
            <w:r w:rsidRPr="00614EF9">
              <w:rPr>
                <w:b w:val="0"/>
                <w:bCs w:val="0"/>
                <w:sz w:val="20"/>
                <w:szCs w:val="20"/>
              </w:rPr>
              <w:t>Échéance de libération</w:t>
            </w:r>
          </w:p>
        </w:tc>
        <w:tc>
          <w:tcPr>
            <w:tcW w:w="6638" w:type="dxa"/>
          </w:tcPr>
          <w:p w14:paraId="7EF4EA06" w14:textId="77777777" w:rsidR="00756181" w:rsidRPr="00614EF9" w:rsidRDefault="00756181" w:rsidP="009514E2">
            <w:pPr>
              <w:spacing w:line="248" w:lineRule="auto"/>
              <w:cnfStyle w:val="000000000000" w:firstRow="0" w:lastRow="0" w:firstColumn="0" w:lastColumn="0" w:oddVBand="0" w:evenVBand="0" w:oddHBand="0" w:evenHBand="0" w:firstRowFirstColumn="0" w:firstRowLastColumn="0" w:lastRowFirstColumn="0" w:lastRowLastColumn="0"/>
              <w:rPr>
                <w:sz w:val="20"/>
                <w:szCs w:val="20"/>
              </w:rPr>
            </w:pPr>
            <w:r w:rsidRPr="00614EF9">
              <w:rPr>
                <w:sz w:val="20"/>
                <w:szCs w:val="20"/>
              </w:rPr>
              <w:t>Avant la fin de 2029. Cette échéance est ferme : un opérateur a fondé sur elle son projet de lancement commercial de la cinquième génération en 2030. Le réaménagement intervient en phase 2 (2027-2028), le constat de libération en phase 3.</w:t>
            </w:r>
          </w:p>
        </w:tc>
      </w:tr>
      <w:tr w:rsidR="00756181" w:rsidRPr="00614EF9" w14:paraId="3CA4F6C0" w14:textId="77777777" w:rsidTr="00756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154E1E49" w14:textId="77777777" w:rsidR="00756181" w:rsidRPr="00614EF9" w:rsidRDefault="00756181" w:rsidP="009514E2">
            <w:pPr>
              <w:spacing w:line="248" w:lineRule="auto"/>
              <w:rPr>
                <w:b w:val="0"/>
                <w:bCs w:val="0"/>
                <w:sz w:val="20"/>
                <w:szCs w:val="20"/>
              </w:rPr>
            </w:pPr>
            <w:r w:rsidRPr="00614EF9">
              <w:rPr>
                <w:b w:val="0"/>
                <w:bCs w:val="0"/>
                <w:sz w:val="20"/>
                <w:szCs w:val="20"/>
              </w:rPr>
              <w:t>État d'avancement</w:t>
            </w:r>
          </w:p>
        </w:tc>
        <w:tc>
          <w:tcPr>
            <w:tcW w:w="6638" w:type="dxa"/>
          </w:tcPr>
          <w:p w14:paraId="70EC8486" w14:textId="77777777" w:rsidR="00756181" w:rsidRPr="00614EF9" w:rsidRDefault="00756181" w:rsidP="009514E2">
            <w:pPr>
              <w:spacing w:line="248" w:lineRule="auto"/>
              <w:cnfStyle w:val="000000100000" w:firstRow="0" w:lastRow="0" w:firstColumn="0" w:lastColumn="0" w:oddVBand="0" w:evenVBand="0" w:oddHBand="1" w:evenHBand="0" w:firstRowFirstColumn="0" w:firstRowLastColumn="0" w:lastRowFirstColumn="0" w:lastRowLastColumn="0"/>
              <w:rPr>
                <w:sz w:val="20"/>
                <w:szCs w:val="20"/>
              </w:rPr>
            </w:pPr>
            <w:r w:rsidRPr="00614EF9">
              <w:rPr>
                <w:sz w:val="20"/>
                <w:szCs w:val="20"/>
              </w:rPr>
              <w:t>Diagnostic établi. Portion 3 400–3 600 MHz retenue au terme de l'analyse, ce qui supprime tout recouvrement co-canal avec les stations terriennes déclarées. Restent à obtenir : les inventaires géolocalisés des stations de Celtel Niger et de Télédiffusion du Niger, ainsi que les transpondeurs effectivement exploités. L'établissement des zones de coordination est programmé en phase 1.</w:t>
            </w:r>
          </w:p>
        </w:tc>
      </w:tr>
    </w:tbl>
    <w:p w14:paraId="734946AD" w14:textId="77777777" w:rsidR="00F5670A" w:rsidRPr="00614EF9" w:rsidRDefault="00F5670A" w:rsidP="00F5670A">
      <w:pPr>
        <w:rPr>
          <w:lang w:val="fr-FR"/>
        </w:rPr>
      </w:pPr>
    </w:p>
    <w:p w14:paraId="5D2950DC" w14:textId="77777777" w:rsidR="00F5670A" w:rsidRPr="00614EF9" w:rsidRDefault="00F5670A">
      <w:pPr>
        <w:rPr>
          <w:lang w:val="fr-FR"/>
        </w:rPr>
      </w:pPr>
    </w:p>
    <w:p w14:paraId="07FFAECC" w14:textId="77777777" w:rsidR="007C757E" w:rsidRPr="00614EF9" w:rsidRDefault="009514E2" w:rsidP="007D4BE4">
      <w:pPr>
        <w:pStyle w:val="Titre2"/>
        <w:rPr>
          <w:lang w:val="fr-FR"/>
        </w:rPr>
      </w:pPr>
      <w:bookmarkStart w:id="287" w:name="_Toc232062327"/>
      <w:bookmarkStart w:id="288" w:name="_Toc236636406"/>
      <w:bookmarkStart w:id="289" w:name="_Ref240511670"/>
      <w:bookmarkStart w:id="290" w:name="_Toc240614466"/>
      <w:r w:rsidRPr="00614EF9">
        <w:rPr>
          <w:lang w:val="fr-FR"/>
        </w:rPr>
        <w:lastRenderedPageBreak/>
        <w:t>Annexe C – Textes de référence</w:t>
      </w:r>
      <w:bookmarkEnd w:id="287"/>
      <w:bookmarkEnd w:id="288"/>
      <w:bookmarkEnd w:id="289"/>
      <w:bookmarkEnd w:id="290"/>
    </w:p>
    <w:p w14:paraId="76E16F4B" w14:textId="77777777" w:rsidR="003A2650" w:rsidRPr="00614EF9" w:rsidRDefault="009514E2">
      <w:pPr>
        <w:spacing w:before="60"/>
        <w:rPr>
          <w:lang w:val="fr-FR"/>
        </w:rPr>
      </w:pPr>
      <w:r w:rsidRPr="00614EF9">
        <w:rPr>
          <w:b/>
          <w:lang w:val="fr-FR"/>
        </w:rPr>
        <w:t xml:space="preserve">Textes nationaux. </w:t>
      </w:r>
    </w:p>
    <w:p w14:paraId="59306728" w14:textId="4C7BE52C"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Loi n°2018-45 du 12 juillet 2018 portant réglementation des communications électroniques au Niger, modifiée par l’ordonnance n°2022-04 du 13 janvier 2022 ;</w:t>
      </w:r>
    </w:p>
    <w:p w14:paraId="30F246E5" w14:textId="0B96806D"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Décret n°2020-569/PRN/MPT/EN du 17 juillet 2020 déterminant les conditions d’organisation du spectre radioélectrique. Son article 6 prescrit l’élaboration d’un plan de transition ;</w:t>
      </w:r>
    </w:p>
    <w:p w14:paraId="59967F1B" w14:textId="03234EA7"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Décret n°2022-250/PRN/MPT/NTI du 24 mars 2022 précisant les modalités d’octroi de licences individuelles sans appel public à concurrence ;</w:t>
      </w:r>
    </w:p>
    <w:p w14:paraId="7D970652" w14:textId="130B5FE2"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Décret n°2022-781/PRN/MPT/NTI du 13 octobre 2022 précisant les modalités du principe de neutralité technologique dans l’exploitation des licences individuelles et des autorisations générales au Niger ;</w:t>
      </w:r>
    </w:p>
    <w:p w14:paraId="25DA7DFD" w14:textId="24EB3184"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Arrêté n°11/MCP/EN/SG/DL du 18 février 2025 déterminant les modalités d’application du décret n°2022-781/PRN/MPT/NTI du 13 octobre 2022 ;</w:t>
      </w:r>
    </w:p>
    <w:p w14:paraId="0DC4FD27" w14:textId="5003A548" w:rsidR="007F0A29" w:rsidRPr="00614EF9" w:rsidRDefault="007F0A29" w:rsidP="007F0A29">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Décision n°004/ARCEP/CNRCEP/26 du 11 mai 2026 portant adoption du Plan national d’attribution des fréquences, édition 2025. Son article 2 prescrit l’établissement du présent plan.</w:t>
      </w:r>
    </w:p>
    <w:p w14:paraId="18E07447" w14:textId="77777777" w:rsidR="003A2650" w:rsidRPr="00614EF9" w:rsidRDefault="009514E2">
      <w:pPr>
        <w:spacing w:before="60"/>
        <w:rPr>
          <w:lang w:val="fr-FR"/>
        </w:rPr>
      </w:pPr>
      <w:r w:rsidRPr="00614EF9">
        <w:rPr>
          <w:b/>
          <w:lang w:val="fr-FR"/>
        </w:rPr>
        <w:t xml:space="preserve">Textes internationaux. </w:t>
      </w:r>
    </w:p>
    <w:p w14:paraId="75D995A4" w14:textId="7777777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Règlement des radiocommunications de l'Union internationale des télécommunications.</w:t>
      </w:r>
    </w:p>
    <w:p w14:paraId="374EAA37" w14:textId="7777777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Actes finals des Conférences mondiales des radiocommunications.</w:t>
      </w:r>
    </w:p>
    <w:p w14:paraId="5FE4E090" w14:textId="7777777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Accord régional de Genève de 2006 (GE06) relatif à la planification du service de radiodiffusion numérique terrestre.</w:t>
      </w:r>
    </w:p>
    <w:p w14:paraId="6A87D352" w14:textId="77777777" w:rsidR="003A2650" w:rsidRPr="00614EF9" w:rsidRDefault="009514E2">
      <w:pPr>
        <w:spacing w:before="60"/>
        <w:rPr>
          <w:lang w:val="fr-FR"/>
        </w:rPr>
      </w:pPr>
      <w:r w:rsidRPr="00614EF9">
        <w:rPr>
          <w:b/>
          <w:lang w:val="fr-FR"/>
        </w:rPr>
        <w:t xml:space="preserve">Textes techniques de référence. </w:t>
      </w:r>
    </w:p>
    <w:p w14:paraId="77C2D6EA" w14:textId="58BC04D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Recommandation</w:t>
      </w:r>
      <w:r w:rsidR="007F0A29" w:rsidRPr="00614EF9">
        <w:rPr>
          <w:rFonts w:ascii="Century Gothic" w:hAnsi="Century Gothic"/>
          <w:lang w:val="fr-FR"/>
        </w:rPr>
        <w:t>s pertinentes de l’UIT-R</w:t>
      </w:r>
      <w:r w:rsidRPr="00614EF9">
        <w:rPr>
          <w:rFonts w:ascii="Century Gothic" w:hAnsi="Century Gothic"/>
          <w:lang w:val="fr-FR"/>
        </w:rPr>
        <w:t>.</w:t>
      </w:r>
    </w:p>
    <w:p w14:paraId="08BBBEF4" w14:textId="7777777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Spécifications 3GPP relatives aux arrangements de fréquences n28 (700 MHz), n78 (3,5 GHz) et n105 (600 MHz).</w:t>
      </w:r>
    </w:p>
    <w:p w14:paraId="2599585B" w14:textId="77777777" w:rsidR="003A2650" w:rsidRPr="00614EF9" w:rsidRDefault="009514E2">
      <w:pPr>
        <w:spacing w:before="60"/>
        <w:rPr>
          <w:lang w:val="fr-FR"/>
        </w:rPr>
      </w:pPr>
      <w:r w:rsidRPr="00614EF9">
        <w:rPr>
          <w:b/>
          <w:lang w:val="fr-FR"/>
        </w:rPr>
        <w:t xml:space="preserve">Documents de la consultation. </w:t>
      </w:r>
    </w:p>
    <w:p w14:paraId="06DF5A01" w14:textId="7777777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Document de consultation publique relative au projet de plan de transition, comportant soixante-quatorze questions, ouvert du 20 juillet au 31 août 2026.</w:t>
      </w:r>
    </w:p>
    <w:p w14:paraId="418C7BA8" w14:textId="0A928E67" w:rsidR="003A2650" w:rsidRPr="00614EF9" w:rsidRDefault="009514E2">
      <w:pPr>
        <w:pStyle w:val="Paragraphedeliste"/>
        <w:numPr>
          <w:ilvl w:val="0"/>
          <w:numId w:val="1"/>
        </w:numPr>
        <w:spacing w:after="60"/>
        <w:jc w:val="both"/>
        <w:rPr>
          <w:rFonts w:ascii="Century Gothic" w:hAnsi="Century Gothic"/>
          <w:lang w:val="fr-FR"/>
        </w:rPr>
      </w:pPr>
      <w:r w:rsidRPr="00614EF9">
        <w:rPr>
          <w:rFonts w:ascii="Century Gothic" w:hAnsi="Century Gothic"/>
          <w:lang w:val="fr-FR"/>
        </w:rPr>
        <w:t>Grille de dépouillement des contributions à la consultation publique.</w:t>
      </w:r>
    </w:p>
    <w:p w14:paraId="0D6BBB4D" w14:textId="77777777" w:rsidR="007C757E" w:rsidRPr="00614EF9" w:rsidRDefault="007C757E">
      <w:pPr>
        <w:spacing w:after="160"/>
        <w:rPr>
          <w:lang w:val="fr-FR"/>
        </w:rPr>
      </w:pPr>
    </w:p>
    <w:p w14:paraId="78FD4300" w14:textId="77777777" w:rsidR="00124CFA" w:rsidRPr="00614EF9" w:rsidRDefault="00124CFA">
      <w:pPr>
        <w:spacing w:after="160"/>
        <w:rPr>
          <w:lang w:val="fr-FR"/>
        </w:rPr>
      </w:pPr>
    </w:p>
    <w:sectPr w:rsidR="00124CFA" w:rsidRPr="00614EF9" w:rsidSect="0058618D">
      <w:type w:val="continuous"/>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B43558" w14:textId="77777777" w:rsidR="00D91A46" w:rsidRDefault="00D91A46">
      <w:r>
        <w:separator/>
      </w:r>
    </w:p>
  </w:endnote>
  <w:endnote w:type="continuationSeparator" w:id="0">
    <w:p w14:paraId="59E5DE3B" w14:textId="77777777" w:rsidR="00D91A46" w:rsidRDefault="00D91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7B74F" w14:textId="77777777" w:rsidR="00D34195" w:rsidRPr="00222AF2" w:rsidRDefault="00D34195" w:rsidP="00222AF2">
    <w:pPr>
      <w:pStyle w:val="Pieddepage"/>
      <w:pBdr>
        <w:top w:val="single" w:sz="4" w:space="1" w:color="auto"/>
      </w:pBdr>
      <w:ind w:left="-284" w:right="-427"/>
      <w:jc w:val="center"/>
      <w:rPr>
        <w:sz w:val="20"/>
        <w:szCs w:val="20"/>
        <w:lang w:val="fr-FR"/>
      </w:rPr>
    </w:pPr>
    <w:r w:rsidRPr="00222AF2">
      <w:rPr>
        <w:sz w:val="20"/>
        <w:szCs w:val="20"/>
        <w:lang w:val="fr-FR"/>
      </w:rPr>
      <w:t>Rue du Stade Général Seyni Kountché, Derrière 2</w:t>
    </w:r>
    <w:r w:rsidRPr="00222AF2">
      <w:rPr>
        <w:sz w:val="20"/>
        <w:szCs w:val="20"/>
        <w:vertAlign w:val="superscript"/>
        <w:lang w:val="fr-FR"/>
      </w:rPr>
      <w:t>ème</w:t>
    </w:r>
    <w:r w:rsidRPr="00222AF2">
      <w:rPr>
        <w:sz w:val="20"/>
        <w:szCs w:val="20"/>
        <w:lang w:val="fr-FR"/>
      </w:rPr>
      <w:t xml:space="preserve"> Arrondissement Communal, BP 13179 – Niamey, Tél. :20739008 </w:t>
    </w:r>
    <w:hyperlink r:id="rId1" w:history="1">
      <w:r w:rsidRPr="00222AF2">
        <w:rPr>
          <w:rStyle w:val="Lienhypertexte"/>
          <w:sz w:val="20"/>
          <w:szCs w:val="20"/>
          <w:lang w:val="fr-FR"/>
        </w:rPr>
        <w:t>http://www.arcep.ne</w:t>
      </w:r>
    </w:hyperlink>
    <w:r w:rsidRPr="00222AF2">
      <w:rPr>
        <w:sz w:val="20"/>
        <w:szCs w:val="20"/>
        <w:lang w:val="fr-FR"/>
      </w:rPr>
      <w:t xml:space="preserve"> mail : </w:t>
    </w:r>
    <w:hyperlink r:id="rId2" w:history="1">
      <w:r w:rsidRPr="00222AF2">
        <w:rPr>
          <w:rStyle w:val="Lienhypertexte"/>
          <w:sz w:val="20"/>
          <w:szCs w:val="20"/>
          <w:lang w:val="fr-FR"/>
        </w:rPr>
        <w:t>arcep@arcep.ne</w:t>
      </w:r>
    </w:hyperlink>
  </w:p>
  <w:p w14:paraId="711015BC" w14:textId="15AFB0BA" w:rsidR="00D34195" w:rsidRPr="00222AF2" w:rsidRDefault="00D34195" w:rsidP="00222AF2">
    <w:pPr>
      <w:pStyle w:val="Pieddepage"/>
      <w:spacing w:before="40"/>
      <w:jc w:val="center"/>
      <w:rPr>
        <w:caps/>
        <w:color w:val="000000" w:themeColor="text1"/>
        <w:sz w:val="20"/>
        <w:szCs w:val="20"/>
      </w:rPr>
    </w:pPr>
    <w:r w:rsidRPr="00222AF2">
      <w:rPr>
        <w:caps/>
        <w:color w:val="000000" w:themeColor="text1"/>
        <w:sz w:val="20"/>
        <w:szCs w:val="20"/>
      </w:rPr>
      <w:fldChar w:fldCharType="begin"/>
    </w:r>
    <w:r w:rsidRPr="00222AF2">
      <w:rPr>
        <w:caps/>
        <w:color w:val="000000" w:themeColor="text1"/>
        <w:sz w:val="20"/>
        <w:szCs w:val="20"/>
      </w:rPr>
      <w:instrText>PAGE   \* MERGEFORMAT</w:instrText>
    </w:r>
    <w:r w:rsidRPr="00222AF2">
      <w:rPr>
        <w:caps/>
        <w:color w:val="000000" w:themeColor="text1"/>
        <w:sz w:val="20"/>
        <w:szCs w:val="20"/>
      </w:rPr>
      <w:fldChar w:fldCharType="separate"/>
    </w:r>
    <w:r w:rsidR="00547A2E">
      <w:rPr>
        <w:caps/>
        <w:noProof/>
        <w:color w:val="000000" w:themeColor="text1"/>
        <w:sz w:val="20"/>
        <w:szCs w:val="20"/>
      </w:rPr>
      <w:t>2</w:t>
    </w:r>
    <w:r w:rsidR="00547A2E">
      <w:rPr>
        <w:caps/>
        <w:noProof/>
        <w:color w:val="000000" w:themeColor="text1"/>
        <w:sz w:val="20"/>
        <w:szCs w:val="20"/>
      </w:rPr>
      <w:t>1</w:t>
    </w:r>
    <w:r w:rsidRPr="00222AF2">
      <w:rPr>
        <w:caps/>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A6316" w14:textId="77777777" w:rsidR="00D91A46" w:rsidRDefault="00D91A46">
      <w:r>
        <w:separator/>
      </w:r>
    </w:p>
  </w:footnote>
  <w:footnote w:type="continuationSeparator" w:id="0">
    <w:p w14:paraId="2E97BC73" w14:textId="77777777" w:rsidR="00D91A46" w:rsidRDefault="00D91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03BA7" w14:textId="77777777" w:rsidR="00D34195" w:rsidRDefault="00D3419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62DCB"/>
    <w:multiLevelType w:val="multilevel"/>
    <w:tmpl w:val="1DCA52D6"/>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01D3A"/>
    <w:multiLevelType w:val="hybridMultilevel"/>
    <w:tmpl w:val="FE083368"/>
    <w:lvl w:ilvl="0" w:tplc="69DC93A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E55754"/>
    <w:multiLevelType w:val="multilevel"/>
    <w:tmpl w:val="0AD2A024"/>
    <w:lvl w:ilvl="0">
      <w:start w:val="1"/>
      <w:numFmt w:val="decimal"/>
      <w:pStyle w:val="Titre1"/>
      <w:lvlText w:val="%1"/>
      <w:lvlJc w:val="left"/>
      <w:pPr>
        <w:ind w:left="2556" w:hanging="432"/>
      </w:pPr>
    </w:lvl>
    <w:lvl w:ilvl="1">
      <w:start w:val="1"/>
      <w:numFmt w:val="decimal"/>
      <w:pStyle w:val="Titre2"/>
      <w:lvlText w:val="%1.%2"/>
      <w:lvlJc w:val="left"/>
      <w:pPr>
        <w:ind w:left="2700" w:hanging="576"/>
      </w:pPr>
    </w:lvl>
    <w:lvl w:ilvl="2">
      <w:start w:val="1"/>
      <w:numFmt w:val="decimal"/>
      <w:pStyle w:val="Titre3"/>
      <w:lvlText w:val="%1.%2.%3"/>
      <w:lvlJc w:val="left"/>
      <w:pPr>
        <w:ind w:left="2844" w:hanging="720"/>
      </w:pPr>
    </w:lvl>
    <w:lvl w:ilvl="3">
      <w:start w:val="1"/>
      <w:numFmt w:val="decimal"/>
      <w:pStyle w:val="Titre4"/>
      <w:lvlText w:val="%1.%2.%3.%4"/>
      <w:lvlJc w:val="left"/>
      <w:pPr>
        <w:ind w:left="2988" w:hanging="864"/>
      </w:pPr>
    </w:lvl>
    <w:lvl w:ilvl="4">
      <w:start w:val="1"/>
      <w:numFmt w:val="decimal"/>
      <w:pStyle w:val="Titre5"/>
      <w:lvlText w:val="%1.%2.%3.%4.%5"/>
      <w:lvlJc w:val="left"/>
      <w:pPr>
        <w:ind w:left="3132" w:hanging="1008"/>
      </w:pPr>
    </w:lvl>
    <w:lvl w:ilvl="5">
      <w:start w:val="1"/>
      <w:numFmt w:val="decimal"/>
      <w:pStyle w:val="Titre6"/>
      <w:lvlText w:val="%1.%2.%3.%4.%5.%6"/>
      <w:lvlJc w:val="left"/>
      <w:pPr>
        <w:ind w:left="3276" w:hanging="1152"/>
      </w:pPr>
    </w:lvl>
    <w:lvl w:ilvl="6">
      <w:start w:val="1"/>
      <w:numFmt w:val="decimal"/>
      <w:pStyle w:val="Titre7"/>
      <w:lvlText w:val="%1.%2.%3.%4.%5.%6.%7"/>
      <w:lvlJc w:val="left"/>
      <w:pPr>
        <w:ind w:left="3420" w:hanging="1296"/>
      </w:pPr>
    </w:lvl>
    <w:lvl w:ilvl="7">
      <w:start w:val="1"/>
      <w:numFmt w:val="decimal"/>
      <w:pStyle w:val="Titre8"/>
      <w:lvlText w:val="%1.%2.%3.%4.%5.%6.%7.%8"/>
      <w:lvlJc w:val="left"/>
      <w:pPr>
        <w:ind w:left="3564" w:hanging="1440"/>
      </w:pPr>
    </w:lvl>
    <w:lvl w:ilvl="8">
      <w:start w:val="1"/>
      <w:numFmt w:val="decimal"/>
      <w:pStyle w:val="Titre9"/>
      <w:lvlText w:val="%1.%2.%3.%4.%5.%6.%7.%8.%9"/>
      <w:lvlJc w:val="left"/>
      <w:pPr>
        <w:ind w:left="3708" w:hanging="1584"/>
      </w:pPr>
    </w:lvl>
  </w:abstractNum>
  <w:abstractNum w:abstractNumId="3" w15:restartNumberingAfterBreak="0">
    <w:nsid w:val="37C2551A"/>
    <w:multiLevelType w:val="multilevel"/>
    <w:tmpl w:val="DF346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856C8"/>
    <w:multiLevelType w:val="hybridMultilevel"/>
    <w:tmpl w:val="F138B424"/>
    <w:lvl w:ilvl="0" w:tplc="FB22FE22">
      <w:start w:val="1"/>
      <w:numFmt w:val="lowerLetter"/>
      <w:lvlText w:val="%1)"/>
      <w:lvlJc w:val="left"/>
      <w:pPr>
        <w:ind w:left="720" w:hanging="360"/>
      </w:pPr>
      <w:rPr>
        <w:rFonts w:hint="default"/>
        <w:b/>
      </w:rPr>
    </w:lvl>
    <w:lvl w:ilvl="1" w:tplc="69DC93A6">
      <w:numFmt w:val="bullet"/>
      <w:lvlText w:val="-"/>
      <w:lvlJc w:val="left"/>
      <w:pPr>
        <w:ind w:left="1440" w:hanging="36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DC47978"/>
    <w:multiLevelType w:val="multilevel"/>
    <w:tmpl w:val="9466742E"/>
    <w:lvl w:ilvl="0">
      <w:numFmt w:val="bullet"/>
      <w:lvlText w:val="-"/>
      <w:lvlJc w:val="left"/>
      <w:pPr>
        <w:ind w:left="1068" w:hanging="360"/>
      </w:pPr>
      <w:rPr>
        <w:rFonts w:ascii="Times New Roman" w:eastAsia="Times New Roman" w:hAnsi="Times New Roman" w:cs="Times New Roman" w:hint="default"/>
      </w:rPr>
    </w:lvl>
    <w:lvl w:ilvl="1">
      <w:start w:val="1"/>
      <w:numFmt w:val="decimal"/>
      <w:lvlText w:val="%1.%2"/>
      <w:lvlJc w:val="left"/>
      <w:pPr>
        <w:ind w:left="1284" w:hanging="576"/>
      </w:pPr>
    </w:lvl>
    <w:lvl w:ilvl="2">
      <w:start w:val="1"/>
      <w:numFmt w:val="decimal"/>
      <w:lvlText w:val="%1.%2.%3"/>
      <w:lvlJc w:val="left"/>
      <w:pPr>
        <w:ind w:left="1428" w:hanging="720"/>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6" w15:restartNumberingAfterBreak="0">
    <w:nsid w:val="69885C7C"/>
    <w:multiLevelType w:val="hybridMultilevel"/>
    <w:tmpl w:val="9BF0C760"/>
    <w:lvl w:ilvl="0" w:tplc="4EBA9584">
      <w:start w:val="1"/>
      <w:numFmt w:val="bullet"/>
      <w:lvlText w:val="•"/>
      <w:lvlJc w:val="left"/>
      <w:pPr>
        <w:ind w:left="720" w:hanging="360"/>
      </w:pPr>
    </w:lvl>
    <w:lvl w:ilvl="1" w:tplc="529212DA">
      <w:numFmt w:val="decimal"/>
      <w:lvlText w:val=""/>
      <w:lvlJc w:val="left"/>
    </w:lvl>
    <w:lvl w:ilvl="2" w:tplc="BA6A2D02">
      <w:numFmt w:val="decimal"/>
      <w:lvlText w:val=""/>
      <w:lvlJc w:val="left"/>
    </w:lvl>
    <w:lvl w:ilvl="3" w:tplc="2A74F77C">
      <w:numFmt w:val="decimal"/>
      <w:lvlText w:val=""/>
      <w:lvlJc w:val="left"/>
    </w:lvl>
    <w:lvl w:ilvl="4" w:tplc="0F523FBA">
      <w:numFmt w:val="decimal"/>
      <w:lvlText w:val=""/>
      <w:lvlJc w:val="left"/>
    </w:lvl>
    <w:lvl w:ilvl="5" w:tplc="3A900036">
      <w:numFmt w:val="decimal"/>
      <w:lvlText w:val=""/>
      <w:lvlJc w:val="left"/>
    </w:lvl>
    <w:lvl w:ilvl="6" w:tplc="91D88074">
      <w:numFmt w:val="decimal"/>
      <w:lvlText w:val=""/>
      <w:lvlJc w:val="left"/>
    </w:lvl>
    <w:lvl w:ilvl="7" w:tplc="8330364E">
      <w:numFmt w:val="decimal"/>
      <w:lvlText w:val=""/>
      <w:lvlJc w:val="left"/>
    </w:lvl>
    <w:lvl w:ilvl="8" w:tplc="C460080C">
      <w:numFmt w:val="decimal"/>
      <w:lvlText w:val=""/>
      <w:lvlJc w:val="left"/>
    </w:lvl>
  </w:abstractNum>
  <w:abstractNum w:abstractNumId="7" w15:restartNumberingAfterBreak="0">
    <w:nsid w:val="780E0B30"/>
    <w:multiLevelType w:val="multilevel"/>
    <w:tmpl w:val="1DCA52D6"/>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846701">
    <w:abstractNumId w:val="6"/>
    <w:lvlOverride w:ilvl="0">
      <w:startOverride w:val="1"/>
    </w:lvlOverride>
  </w:num>
  <w:num w:numId="2" w16cid:durableId="1053654882">
    <w:abstractNumId w:val="2"/>
  </w:num>
  <w:num w:numId="3" w16cid:durableId="1684698515">
    <w:abstractNumId w:val="4"/>
  </w:num>
  <w:num w:numId="4" w16cid:durableId="1852644565">
    <w:abstractNumId w:val="3"/>
  </w:num>
  <w:num w:numId="5" w16cid:durableId="518353405">
    <w:abstractNumId w:val="2"/>
  </w:num>
  <w:num w:numId="6" w16cid:durableId="1383794862">
    <w:abstractNumId w:val="2"/>
  </w:num>
  <w:num w:numId="7" w16cid:durableId="1863782251">
    <w:abstractNumId w:val="2"/>
  </w:num>
  <w:num w:numId="8" w16cid:durableId="1384789225">
    <w:abstractNumId w:val="2"/>
  </w:num>
  <w:num w:numId="9" w16cid:durableId="1395928403">
    <w:abstractNumId w:val="2"/>
  </w:num>
  <w:num w:numId="10" w16cid:durableId="582491779">
    <w:abstractNumId w:val="2"/>
  </w:num>
  <w:num w:numId="11" w16cid:durableId="2104033405">
    <w:abstractNumId w:val="2"/>
  </w:num>
  <w:num w:numId="12" w16cid:durableId="1915553320">
    <w:abstractNumId w:val="2"/>
  </w:num>
  <w:num w:numId="13" w16cid:durableId="1703937816">
    <w:abstractNumId w:val="2"/>
  </w:num>
  <w:num w:numId="14" w16cid:durableId="813916484">
    <w:abstractNumId w:val="2"/>
  </w:num>
  <w:num w:numId="15" w16cid:durableId="1313146343">
    <w:abstractNumId w:val="1"/>
  </w:num>
  <w:num w:numId="16" w16cid:durableId="1089739774">
    <w:abstractNumId w:val="5"/>
  </w:num>
  <w:num w:numId="17" w16cid:durableId="803155560">
    <w:abstractNumId w:val="2"/>
  </w:num>
  <w:num w:numId="18" w16cid:durableId="60103790">
    <w:abstractNumId w:val="2"/>
  </w:num>
  <w:num w:numId="19" w16cid:durableId="619728063">
    <w:abstractNumId w:val="2"/>
  </w:num>
  <w:num w:numId="20" w16cid:durableId="1072241502">
    <w:abstractNumId w:val="7"/>
  </w:num>
  <w:num w:numId="21" w16cid:durableId="889414670">
    <w:abstractNumId w:val="2"/>
  </w:num>
  <w:num w:numId="22" w16cid:durableId="594630822">
    <w:abstractNumId w:val="0"/>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7E"/>
    <w:rsid w:val="00001329"/>
    <w:rsid w:val="00013D87"/>
    <w:rsid w:val="000272B6"/>
    <w:rsid w:val="00043CC8"/>
    <w:rsid w:val="00061318"/>
    <w:rsid w:val="000614D8"/>
    <w:rsid w:val="00082A89"/>
    <w:rsid w:val="000945C5"/>
    <w:rsid w:val="00096894"/>
    <w:rsid w:val="000A2DCF"/>
    <w:rsid w:val="000A3975"/>
    <w:rsid w:val="000A6FD8"/>
    <w:rsid w:val="000C50AF"/>
    <w:rsid w:val="000D1D50"/>
    <w:rsid w:val="000D557B"/>
    <w:rsid w:val="000F2A8A"/>
    <w:rsid w:val="0010643B"/>
    <w:rsid w:val="00107B9F"/>
    <w:rsid w:val="001216D7"/>
    <w:rsid w:val="00124CFA"/>
    <w:rsid w:val="00133098"/>
    <w:rsid w:val="00157B1D"/>
    <w:rsid w:val="00165382"/>
    <w:rsid w:val="001735E7"/>
    <w:rsid w:val="001C118F"/>
    <w:rsid w:val="001C4511"/>
    <w:rsid w:val="001D2582"/>
    <w:rsid w:val="001F68BD"/>
    <w:rsid w:val="00203677"/>
    <w:rsid w:val="002116F4"/>
    <w:rsid w:val="00222AF2"/>
    <w:rsid w:val="0026622D"/>
    <w:rsid w:val="00291A46"/>
    <w:rsid w:val="00295AF2"/>
    <w:rsid w:val="002B146B"/>
    <w:rsid w:val="002C4DEF"/>
    <w:rsid w:val="002D62A7"/>
    <w:rsid w:val="00321C40"/>
    <w:rsid w:val="00324AEF"/>
    <w:rsid w:val="00327EF1"/>
    <w:rsid w:val="003602B1"/>
    <w:rsid w:val="003679DF"/>
    <w:rsid w:val="00374048"/>
    <w:rsid w:val="00385D13"/>
    <w:rsid w:val="003862C2"/>
    <w:rsid w:val="00390DC9"/>
    <w:rsid w:val="00391CBA"/>
    <w:rsid w:val="00392EBC"/>
    <w:rsid w:val="003A2650"/>
    <w:rsid w:val="003A5463"/>
    <w:rsid w:val="003A7C5B"/>
    <w:rsid w:val="003C23B4"/>
    <w:rsid w:val="003E45BE"/>
    <w:rsid w:val="00406718"/>
    <w:rsid w:val="00413673"/>
    <w:rsid w:val="00436C8A"/>
    <w:rsid w:val="004466C9"/>
    <w:rsid w:val="00451026"/>
    <w:rsid w:val="00454D46"/>
    <w:rsid w:val="004609B0"/>
    <w:rsid w:val="00473FD9"/>
    <w:rsid w:val="00484086"/>
    <w:rsid w:val="004865EB"/>
    <w:rsid w:val="004868AF"/>
    <w:rsid w:val="00490F85"/>
    <w:rsid w:val="004A5FCD"/>
    <w:rsid w:val="004D09F9"/>
    <w:rsid w:val="004D775C"/>
    <w:rsid w:val="004E0820"/>
    <w:rsid w:val="004E34F7"/>
    <w:rsid w:val="004E6F5B"/>
    <w:rsid w:val="004F6358"/>
    <w:rsid w:val="005011D2"/>
    <w:rsid w:val="00513799"/>
    <w:rsid w:val="005178AE"/>
    <w:rsid w:val="0052104D"/>
    <w:rsid w:val="00524D77"/>
    <w:rsid w:val="00525158"/>
    <w:rsid w:val="00530F96"/>
    <w:rsid w:val="00547A2E"/>
    <w:rsid w:val="00574BB4"/>
    <w:rsid w:val="00575004"/>
    <w:rsid w:val="0058618D"/>
    <w:rsid w:val="005A7645"/>
    <w:rsid w:val="005C3193"/>
    <w:rsid w:val="005D1CFF"/>
    <w:rsid w:val="005D6982"/>
    <w:rsid w:val="005F364B"/>
    <w:rsid w:val="005F51E2"/>
    <w:rsid w:val="005F6EB3"/>
    <w:rsid w:val="005F78C0"/>
    <w:rsid w:val="00602660"/>
    <w:rsid w:val="00605C2D"/>
    <w:rsid w:val="00612EE9"/>
    <w:rsid w:val="00614EF9"/>
    <w:rsid w:val="006150B4"/>
    <w:rsid w:val="006362B6"/>
    <w:rsid w:val="0065576A"/>
    <w:rsid w:val="006568A4"/>
    <w:rsid w:val="0066730D"/>
    <w:rsid w:val="00692E25"/>
    <w:rsid w:val="006B3424"/>
    <w:rsid w:val="006C0933"/>
    <w:rsid w:val="006D1A12"/>
    <w:rsid w:val="006D6031"/>
    <w:rsid w:val="006E1AF3"/>
    <w:rsid w:val="006E2A47"/>
    <w:rsid w:val="006E4999"/>
    <w:rsid w:val="006F60AA"/>
    <w:rsid w:val="00713491"/>
    <w:rsid w:val="00717664"/>
    <w:rsid w:val="0073003C"/>
    <w:rsid w:val="00733052"/>
    <w:rsid w:val="00734CBF"/>
    <w:rsid w:val="00746909"/>
    <w:rsid w:val="00751141"/>
    <w:rsid w:val="00756181"/>
    <w:rsid w:val="0075618B"/>
    <w:rsid w:val="00762DA6"/>
    <w:rsid w:val="00774D84"/>
    <w:rsid w:val="0078671F"/>
    <w:rsid w:val="007940EF"/>
    <w:rsid w:val="00795DCB"/>
    <w:rsid w:val="00795E1F"/>
    <w:rsid w:val="00796832"/>
    <w:rsid w:val="007A7843"/>
    <w:rsid w:val="007B1A56"/>
    <w:rsid w:val="007C29FB"/>
    <w:rsid w:val="007C757E"/>
    <w:rsid w:val="007D4BE4"/>
    <w:rsid w:val="007E0FED"/>
    <w:rsid w:val="007E1EA6"/>
    <w:rsid w:val="007F0A29"/>
    <w:rsid w:val="007F5835"/>
    <w:rsid w:val="007F7C0A"/>
    <w:rsid w:val="0080157F"/>
    <w:rsid w:val="0080295C"/>
    <w:rsid w:val="0080391E"/>
    <w:rsid w:val="0080544A"/>
    <w:rsid w:val="008231C4"/>
    <w:rsid w:val="0083054A"/>
    <w:rsid w:val="00834704"/>
    <w:rsid w:val="00851BAD"/>
    <w:rsid w:val="00857484"/>
    <w:rsid w:val="00861835"/>
    <w:rsid w:val="008623B5"/>
    <w:rsid w:val="00862E61"/>
    <w:rsid w:val="008732DB"/>
    <w:rsid w:val="00884A4E"/>
    <w:rsid w:val="00890ED9"/>
    <w:rsid w:val="008C264B"/>
    <w:rsid w:val="008C6DE5"/>
    <w:rsid w:val="008C7572"/>
    <w:rsid w:val="008D0439"/>
    <w:rsid w:val="008D07A5"/>
    <w:rsid w:val="008D2CED"/>
    <w:rsid w:val="008E3BDE"/>
    <w:rsid w:val="008E6080"/>
    <w:rsid w:val="008F021B"/>
    <w:rsid w:val="008F1C64"/>
    <w:rsid w:val="008F593E"/>
    <w:rsid w:val="00901294"/>
    <w:rsid w:val="009209BA"/>
    <w:rsid w:val="00923C2A"/>
    <w:rsid w:val="00935C55"/>
    <w:rsid w:val="009361F9"/>
    <w:rsid w:val="0094385A"/>
    <w:rsid w:val="009514E2"/>
    <w:rsid w:val="00961FE4"/>
    <w:rsid w:val="00964AB1"/>
    <w:rsid w:val="0097285B"/>
    <w:rsid w:val="009735FB"/>
    <w:rsid w:val="00985A3D"/>
    <w:rsid w:val="00990354"/>
    <w:rsid w:val="00995015"/>
    <w:rsid w:val="009970FD"/>
    <w:rsid w:val="009A1C77"/>
    <w:rsid w:val="009B47D4"/>
    <w:rsid w:val="009C1CA3"/>
    <w:rsid w:val="009D13FB"/>
    <w:rsid w:val="009D7861"/>
    <w:rsid w:val="009E2AB4"/>
    <w:rsid w:val="009F35D3"/>
    <w:rsid w:val="009F7268"/>
    <w:rsid w:val="00A0202B"/>
    <w:rsid w:val="00A1510B"/>
    <w:rsid w:val="00A17D2A"/>
    <w:rsid w:val="00A32791"/>
    <w:rsid w:val="00A42CB6"/>
    <w:rsid w:val="00A76658"/>
    <w:rsid w:val="00A9099E"/>
    <w:rsid w:val="00A933AD"/>
    <w:rsid w:val="00AA3F87"/>
    <w:rsid w:val="00AB037A"/>
    <w:rsid w:val="00AB602B"/>
    <w:rsid w:val="00AB7DA8"/>
    <w:rsid w:val="00AC29DF"/>
    <w:rsid w:val="00AC550E"/>
    <w:rsid w:val="00AD6608"/>
    <w:rsid w:val="00AD7090"/>
    <w:rsid w:val="00AE4620"/>
    <w:rsid w:val="00AF3CB9"/>
    <w:rsid w:val="00B007D7"/>
    <w:rsid w:val="00B2656C"/>
    <w:rsid w:val="00B31A5E"/>
    <w:rsid w:val="00B3248D"/>
    <w:rsid w:val="00B53A91"/>
    <w:rsid w:val="00B555A6"/>
    <w:rsid w:val="00B5578B"/>
    <w:rsid w:val="00B605A9"/>
    <w:rsid w:val="00B62BA1"/>
    <w:rsid w:val="00B65AD3"/>
    <w:rsid w:val="00B70948"/>
    <w:rsid w:val="00B765D3"/>
    <w:rsid w:val="00BA2320"/>
    <w:rsid w:val="00BA4637"/>
    <w:rsid w:val="00BB1399"/>
    <w:rsid w:val="00BB7AAA"/>
    <w:rsid w:val="00BC12C5"/>
    <w:rsid w:val="00BD0D96"/>
    <w:rsid w:val="00BD10C8"/>
    <w:rsid w:val="00BD2A3B"/>
    <w:rsid w:val="00BE374E"/>
    <w:rsid w:val="00BF016F"/>
    <w:rsid w:val="00BF4D09"/>
    <w:rsid w:val="00C079BA"/>
    <w:rsid w:val="00C1792C"/>
    <w:rsid w:val="00C26760"/>
    <w:rsid w:val="00C276D7"/>
    <w:rsid w:val="00C31F4A"/>
    <w:rsid w:val="00C62BC5"/>
    <w:rsid w:val="00C655E5"/>
    <w:rsid w:val="00C87BDC"/>
    <w:rsid w:val="00CA0EDC"/>
    <w:rsid w:val="00CA49C1"/>
    <w:rsid w:val="00CA5EE3"/>
    <w:rsid w:val="00CB5F05"/>
    <w:rsid w:val="00CD547C"/>
    <w:rsid w:val="00CD68D2"/>
    <w:rsid w:val="00CE6130"/>
    <w:rsid w:val="00CE71BC"/>
    <w:rsid w:val="00CF7A63"/>
    <w:rsid w:val="00D0262F"/>
    <w:rsid w:val="00D06DA1"/>
    <w:rsid w:val="00D11D01"/>
    <w:rsid w:val="00D164A2"/>
    <w:rsid w:val="00D34195"/>
    <w:rsid w:val="00D4109C"/>
    <w:rsid w:val="00D44D2A"/>
    <w:rsid w:val="00D552C7"/>
    <w:rsid w:val="00D60AFA"/>
    <w:rsid w:val="00D610B4"/>
    <w:rsid w:val="00D63374"/>
    <w:rsid w:val="00D6665F"/>
    <w:rsid w:val="00D91A46"/>
    <w:rsid w:val="00DC6A51"/>
    <w:rsid w:val="00DC7E01"/>
    <w:rsid w:val="00DD0990"/>
    <w:rsid w:val="00DD1983"/>
    <w:rsid w:val="00DD7675"/>
    <w:rsid w:val="00DF4DAF"/>
    <w:rsid w:val="00E02606"/>
    <w:rsid w:val="00E058B1"/>
    <w:rsid w:val="00E32006"/>
    <w:rsid w:val="00E325F6"/>
    <w:rsid w:val="00E46E66"/>
    <w:rsid w:val="00E74BB7"/>
    <w:rsid w:val="00E779C1"/>
    <w:rsid w:val="00E932BD"/>
    <w:rsid w:val="00E9465E"/>
    <w:rsid w:val="00EA6E41"/>
    <w:rsid w:val="00EE4D62"/>
    <w:rsid w:val="00EF4FD4"/>
    <w:rsid w:val="00F060FC"/>
    <w:rsid w:val="00F235D6"/>
    <w:rsid w:val="00F5670A"/>
    <w:rsid w:val="00F67AC3"/>
    <w:rsid w:val="00F70DF8"/>
    <w:rsid w:val="00F76FA3"/>
    <w:rsid w:val="00F77946"/>
    <w:rsid w:val="00FA128C"/>
    <w:rsid w:val="00FA398C"/>
    <w:rsid w:val="00FB1A77"/>
    <w:rsid w:val="00FD1D1E"/>
    <w:rsid w:val="00FD5166"/>
    <w:rsid w:val="00FF07C5"/>
  </w:rsids>
  <m:mathPr>
    <m:mathFont m:val="Cambria Math"/>
    <m:brkBin m:val="before"/>
    <m:brkBinSub m:val="--"/>
    <m:smallFrac m:val="0"/>
    <m:dispDef/>
    <m:lMargin m:val="0"/>
    <m:rMargin m:val="0"/>
    <m:defJc m:val="centerGroup"/>
    <m:wrapIndent m:val="1440"/>
    <m:intLim m:val="subSup"/>
    <m:naryLim m:val="undOvr"/>
  </m:mathPr>
  <w:themeFontLang w:val="fr-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0B924"/>
  <w15:docId w15:val="{97754989-5B17-B642-80F3-2CECDEAB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N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70A"/>
    <w:pPr>
      <w:spacing w:before="120" w:after="120"/>
      <w:jc w:val="both"/>
    </w:pPr>
    <w:rPr>
      <w:rFonts w:ascii="Century Gothic" w:hAnsi="Century Gothic"/>
      <w:sz w:val="24"/>
    </w:rPr>
  </w:style>
  <w:style w:type="paragraph" w:styleId="Titre1">
    <w:name w:val="heading 1"/>
    <w:uiPriority w:val="9"/>
    <w:qFormat/>
    <w:rsid w:val="00222AF2"/>
    <w:pPr>
      <w:numPr>
        <w:numId w:val="2"/>
      </w:numPr>
      <w:pBdr>
        <w:bottom w:val="single" w:sz="4" w:space="1" w:color="auto"/>
      </w:pBdr>
      <w:spacing w:before="240" w:after="240"/>
      <w:ind w:left="0" w:firstLine="0"/>
      <w:jc w:val="both"/>
      <w:outlineLvl w:val="0"/>
    </w:pPr>
    <w:rPr>
      <w:rFonts w:ascii="Century Gothic" w:hAnsi="Century Gothic"/>
      <w:b/>
      <w:bCs/>
      <w:caps/>
      <w:sz w:val="28"/>
      <w:szCs w:val="28"/>
    </w:rPr>
  </w:style>
  <w:style w:type="paragraph" w:styleId="Titre2">
    <w:name w:val="heading 2"/>
    <w:autoRedefine/>
    <w:uiPriority w:val="9"/>
    <w:unhideWhenUsed/>
    <w:qFormat/>
    <w:rsid w:val="007D4BE4"/>
    <w:pPr>
      <w:numPr>
        <w:ilvl w:val="1"/>
        <w:numId w:val="2"/>
      </w:numPr>
      <w:spacing w:before="120" w:after="120"/>
      <w:ind w:left="0" w:firstLine="0"/>
      <w:jc w:val="both"/>
      <w:outlineLvl w:val="1"/>
    </w:pPr>
    <w:rPr>
      <w:rFonts w:ascii="Century Gothic" w:hAnsi="Century Gothic"/>
      <w:b/>
      <w:bCs/>
      <w:sz w:val="24"/>
      <w:szCs w:val="24"/>
    </w:rPr>
  </w:style>
  <w:style w:type="paragraph" w:styleId="Titre3">
    <w:name w:val="heading 3"/>
    <w:link w:val="Titre3Car"/>
    <w:autoRedefine/>
    <w:uiPriority w:val="9"/>
    <w:unhideWhenUsed/>
    <w:qFormat/>
    <w:rsid w:val="0066730D"/>
    <w:pPr>
      <w:numPr>
        <w:ilvl w:val="2"/>
        <w:numId w:val="2"/>
      </w:numPr>
      <w:spacing w:before="120" w:after="120"/>
      <w:ind w:left="0" w:firstLine="0"/>
      <w:jc w:val="both"/>
      <w:outlineLvl w:val="2"/>
    </w:pPr>
    <w:rPr>
      <w:rFonts w:ascii="Century Gothic" w:hAnsi="Century Gothic"/>
      <w:sz w:val="24"/>
      <w:szCs w:val="24"/>
    </w:rPr>
  </w:style>
  <w:style w:type="paragraph" w:styleId="Titre4">
    <w:name w:val="heading 4"/>
    <w:autoRedefine/>
    <w:uiPriority w:val="9"/>
    <w:unhideWhenUsed/>
    <w:qFormat/>
    <w:rsid w:val="007E0FED"/>
    <w:pPr>
      <w:numPr>
        <w:ilvl w:val="3"/>
        <w:numId w:val="2"/>
      </w:numPr>
      <w:spacing w:before="120" w:after="120"/>
      <w:ind w:left="0" w:firstLine="0"/>
      <w:jc w:val="both"/>
      <w:outlineLvl w:val="3"/>
    </w:pPr>
    <w:rPr>
      <w:rFonts w:ascii="Century Gothic" w:hAnsi="Century Gothic"/>
      <w:i/>
      <w:iCs/>
      <w:color w:val="000000" w:themeColor="text1"/>
      <w:sz w:val="24"/>
    </w:rPr>
  </w:style>
  <w:style w:type="paragraph" w:styleId="Titre5">
    <w:name w:val="heading 5"/>
    <w:uiPriority w:val="9"/>
    <w:semiHidden/>
    <w:unhideWhenUsed/>
    <w:qFormat/>
    <w:pPr>
      <w:numPr>
        <w:ilvl w:val="4"/>
        <w:numId w:val="2"/>
      </w:numPr>
      <w:outlineLvl w:val="4"/>
    </w:pPr>
    <w:rPr>
      <w:color w:val="2E74B5"/>
    </w:rPr>
  </w:style>
  <w:style w:type="paragraph" w:styleId="Titre6">
    <w:name w:val="heading 6"/>
    <w:uiPriority w:val="9"/>
    <w:semiHidden/>
    <w:unhideWhenUsed/>
    <w:qFormat/>
    <w:pPr>
      <w:numPr>
        <w:ilvl w:val="5"/>
        <w:numId w:val="2"/>
      </w:numPr>
      <w:outlineLvl w:val="5"/>
    </w:pPr>
    <w:rPr>
      <w:color w:val="1F4D78"/>
    </w:rPr>
  </w:style>
  <w:style w:type="paragraph" w:styleId="Titre7">
    <w:name w:val="heading 7"/>
    <w:basedOn w:val="Normal"/>
    <w:next w:val="Normal"/>
    <w:link w:val="Titre7Car"/>
    <w:uiPriority w:val="9"/>
    <w:semiHidden/>
    <w:unhideWhenUsed/>
    <w:qFormat/>
    <w:rsid w:val="00222AF2"/>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222AF2"/>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222AF2"/>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TM1">
    <w:name w:val="toc 1"/>
    <w:basedOn w:val="Normal"/>
    <w:next w:val="Normal"/>
    <w:autoRedefine/>
    <w:uiPriority w:val="39"/>
    <w:unhideWhenUsed/>
    <w:rsid w:val="0097285B"/>
    <w:rPr>
      <w:rFonts w:asciiTheme="minorHAnsi" w:hAnsiTheme="minorHAnsi" w:cstheme="minorHAnsi"/>
      <w:b/>
      <w:bCs/>
      <w:caps/>
      <w:sz w:val="20"/>
      <w:szCs w:val="20"/>
    </w:rPr>
  </w:style>
  <w:style w:type="paragraph" w:styleId="TM2">
    <w:name w:val="toc 2"/>
    <w:basedOn w:val="Normal"/>
    <w:next w:val="Normal"/>
    <w:autoRedefine/>
    <w:uiPriority w:val="39"/>
    <w:unhideWhenUsed/>
    <w:rsid w:val="0097285B"/>
    <w:pPr>
      <w:ind w:left="220"/>
    </w:pPr>
    <w:rPr>
      <w:rFonts w:asciiTheme="minorHAnsi" w:hAnsiTheme="minorHAnsi" w:cstheme="minorHAnsi"/>
      <w:smallCaps/>
      <w:sz w:val="20"/>
      <w:szCs w:val="20"/>
    </w:rPr>
  </w:style>
  <w:style w:type="paragraph" w:styleId="En-tte">
    <w:name w:val="header"/>
    <w:basedOn w:val="Normal"/>
    <w:link w:val="En-tteCar"/>
    <w:uiPriority w:val="99"/>
    <w:unhideWhenUsed/>
    <w:rsid w:val="00A0202B"/>
    <w:pPr>
      <w:tabs>
        <w:tab w:val="center" w:pos="4513"/>
        <w:tab w:val="right" w:pos="9026"/>
      </w:tabs>
    </w:pPr>
  </w:style>
  <w:style w:type="character" w:customStyle="1" w:styleId="En-tteCar">
    <w:name w:val="En-tête Car"/>
    <w:basedOn w:val="Policepardfaut"/>
    <w:link w:val="En-tte"/>
    <w:uiPriority w:val="99"/>
    <w:rsid w:val="00A0202B"/>
  </w:style>
  <w:style w:type="paragraph" w:styleId="Pieddepage">
    <w:name w:val="footer"/>
    <w:basedOn w:val="Normal"/>
    <w:link w:val="PieddepageCar"/>
    <w:unhideWhenUsed/>
    <w:rsid w:val="00A0202B"/>
    <w:pPr>
      <w:tabs>
        <w:tab w:val="center" w:pos="4513"/>
        <w:tab w:val="right" w:pos="9026"/>
      </w:tabs>
    </w:pPr>
  </w:style>
  <w:style w:type="character" w:customStyle="1" w:styleId="PieddepageCar">
    <w:name w:val="Pied de page Car"/>
    <w:basedOn w:val="Policepardfaut"/>
    <w:link w:val="Pieddepage"/>
    <w:rsid w:val="00A0202B"/>
  </w:style>
  <w:style w:type="character" w:customStyle="1" w:styleId="Titre7Car">
    <w:name w:val="Titre 7 Car"/>
    <w:basedOn w:val="Policepardfaut"/>
    <w:link w:val="Titre7"/>
    <w:uiPriority w:val="9"/>
    <w:semiHidden/>
    <w:rsid w:val="00222AF2"/>
    <w:rPr>
      <w:rFonts w:asciiTheme="majorHAnsi" w:eastAsiaTheme="majorEastAsia" w:hAnsiTheme="majorHAnsi" w:cstheme="majorBidi"/>
      <w:i/>
      <w:iCs/>
      <w:color w:val="1F3763" w:themeColor="accent1" w:themeShade="7F"/>
      <w:sz w:val="24"/>
    </w:rPr>
  </w:style>
  <w:style w:type="character" w:customStyle="1" w:styleId="Titre8Car">
    <w:name w:val="Titre 8 Car"/>
    <w:basedOn w:val="Policepardfaut"/>
    <w:link w:val="Titre8"/>
    <w:uiPriority w:val="9"/>
    <w:semiHidden/>
    <w:rsid w:val="00222AF2"/>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222AF2"/>
    <w:rPr>
      <w:rFonts w:asciiTheme="majorHAnsi" w:eastAsiaTheme="majorEastAsia" w:hAnsiTheme="majorHAnsi" w:cstheme="majorBidi"/>
      <w:i/>
      <w:iCs/>
      <w:color w:val="272727" w:themeColor="text1" w:themeTint="D8"/>
      <w:sz w:val="21"/>
      <w:szCs w:val="21"/>
    </w:rPr>
  </w:style>
  <w:style w:type="paragraph" w:styleId="TM3">
    <w:name w:val="toc 3"/>
    <w:basedOn w:val="Normal"/>
    <w:next w:val="Normal"/>
    <w:autoRedefine/>
    <w:uiPriority w:val="39"/>
    <w:unhideWhenUsed/>
    <w:rsid w:val="009C1CA3"/>
    <w:pPr>
      <w:ind w:left="440"/>
    </w:pPr>
    <w:rPr>
      <w:rFonts w:asciiTheme="minorHAnsi" w:hAnsiTheme="minorHAnsi" w:cstheme="minorHAnsi"/>
      <w:i/>
      <w:iCs/>
      <w:sz w:val="20"/>
      <w:szCs w:val="20"/>
    </w:rPr>
  </w:style>
  <w:style w:type="paragraph" w:styleId="TM4">
    <w:name w:val="toc 4"/>
    <w:basedOn w:val="Normal"/>
    <w:next w:val="Normal"/>
    <w:autoRedefine/>
    <w:uiPriority w:val="39"/>
    <w:unhideWhenUsed/>
    <w:rsid w:val="009C1CA3"/>
    <w:pPr>
      <w:ind w:left="660"/>
    </w:pPr>
    <w:rPr>
      <w:rFonts w:asciiTheme="minorHAnsi" w:hAnsiTheme="minorHAnsi" w:cstheme="minorHAnsi"/>
      <w:sz w:val="18"/>
      <w:szCs w:val="18"/>
    </w:rPr>
  </w:style>
  <w:style w:type="paragraph" w:styleId="TM5">
    <w:name w:val="toc 5"/>
    <w:basedOn w:val="Normal"/>
    <w:next w:val="Normal"/>
    <w:autoRedefine/>
    <w:uiPriority w:val="39"/>
    <w:unhideWhenUsed/>
    <w:rsid w:val="009C1CA3"/>
    <w:pPr>
      <w:ind w:left="880"/>
    </w:pPr>
    <w:rPr>
      <w:rFonts w:asciiTheme="minorHAnsi" w:hAnsiTheme="minorHAnsi" w:cstheme="minorHAnsi"/>
      <w:sz w:val="18"/>
      <w:szCs w:val="18"/>
    </w:rPr>
  </w:style>
  <w:style w:type="paragraph" w:styleId="TM6">
    <w:name w:val="toc 6"/>
    <w:basedOn w:val="Normal"/>
    <w:next w:val="Normal"/>
    <w:autoRedefine/>
    <w:uiPriority w:val="39"/>
    <w:unhideWhenUsed/>
    <w:rsid w:val="009C1CA3"/>
    <w:pPr>
      <w:ind w:left="1100"/>
    </w:pPr>
    <w:rPr>
      <w:rFonts w:asciiTheme="minorHAnsi" w:hAnsiTheme="minorHAnsi" w:cstheme="minorHAnsi"/>
      <w:sz w:val="18"/>
      <w:szCs w:val="18"/>
    </w:rPr>
  </w:style>
  <w:style w:type="paragraph" w:styleId="TM7">
    <w:name w:val="toc 7"/>
    <w:basedOn w:val="Normal"/>
    <w:next w:val="Normal"/>
    <w:autoRedefine/>
    <w:uiPriority w:val="39"/>
    <w:unhideWhenUsed/>
    <w:rsid w:val="009C1CA3"/>
    <w:pPr>
      <w:ind w:left="1320"/>
    </w:pPr>
    <w:rPr>
      <w:rFonts w:asciiTheme="minorHAnsi" w:hAnsiTheme="minorHAnsi" w:cstheme="minorHAnsi"/>
      <w:sz w:val="18"/>
      <w:szCs w:val="18"/>
    </w:rPr>
  </w:style>
  <w:style w:type="paragraph" w:styleId="TM8">
    <w:name w:val="toc 8"/>
    <w:basedOn w:val="Normal"/>
    <w:next w:val="Normal"/>
    <w:autoRedefine/>
    <w:uiPriority w:val="39"/>
    <w:unhideWhenUsed/>
    <w:rsid w:val="009C1CA3"/>
    <w:pPr>
      <w:ind w:left="1540"/>
    </w:pPr>
    <w:rPr>
      <w:rFonts w:asciiTheme="minorHAnsi" w:hAnsiTheme="minorHAnsi" w:cstheme="minorHAnsi"/>
      <w:sz w:val="18"/>
      <w:szCs w:val="18"/>
    </w:rPr>
  </w:style>
  <w:style w:type="paragraph" w:styleId="TM9">
    <w:name w:val="toc 9"/>
    <w:basedOn w:val="Normal"/>
    <w:next w:val="Normal"/>
    <w:autoRedefine/>
    <w:uiPriority w:val="39"/>
    <w:unhideWhenUsed/>
    <w:rsid w:val="009C1CA3"/>
    <w:pPr>
      <w:ind w:left="1760"/>
    </w:pPr>
    <w:rPr>
      <w:rFonts w:asciiTheme="minorHAnsi" w:hAnsiTheme="minorHAnsi" w:cstheme="minorHAnsi"/>
      <w:sz w:val="18"/>
      <w:szCs w:val="18"/>
    </w:rPr>
  </w:style>
  <w:style w:type="table" w:styleId="TableauGrille4-Accentuation3">
    <w:name w:val="Grid Table 4 Accent 3"/>
    <w:basedOn w:val="TableauNormal"/>
    <w:uiPriority w:val="49"/>
    <w:rsid w:val="00CB5F0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gende">
    <w:name w:val="caption"/>
    <w:basedOn w:val="Normal"/>
    <w:next w:val="Normal"/>
    <w:uiPriority w:val="35"/>
    <w:unhideWhenUsed/>
    <w:qFormat/>
    <w:rsid w:val="00BA2320"/>
    <w:pPr>
      <w:spacing w:before="0" w:after="200"/>
    </w:pPr>
    <w:rPr>
      <w:i/>
      <w:iCs/>
      <w:color w:val="44546A" w:themeColor="text2"/>
      <w:sz w:val="18"/>
      <w:szCs w:val="18"/>
    </w:rPr>
  </w:style>
  <w:style w:type="paragraph" w:styleId="Tabledesillustrations">
    <w:name w:val="table of figures"/>
    <w:basedOn w:val="Normal"/>
    <w:next w:val="Normal"/>
    <w:uiPriority w:val="99"/>
    <w:unhideWhenUsed/>
    <w:rsid w:val="0083054A"/>
    <w:pPr>
      <w:spacing w:after="0"/>
    </w:pPr>
  </w:style>
  <w:style w:type="character" w:customStyle="1" w:styleId="Mentionnonrsolue1">
    <w:name w:val="Mention non résolue1"/>
    <w:basedOn w:val="Policepardfaut"/>
    <w:uiPriority w:val="99"/>
    <w:semiHidden/>
    <w:unhideWhenUsed/>
    <w:rsid w:val="00124CFA"/>
    <w:rPr>
      <w:color w:val="605E5C"/>
      <w:shd w:val="clear" w:color="auto" w:fill="E1DFDD"/>
    </w:rPr>
  </w:style>
  <w:style w:type="character" w:styleId="Lienhypertextesuivivisit">
    <w:name w:val="FollowedHyperlink"/>
    <w:basedOn w:val="Policepardfaut"/>
    <w:uiPriority w:val="99"/>
    <w:semiHidden/>
    <w:unhideWhenUsed/>
    <w:rsid w:val="00A1510B"/>
    <w:rPr>
      <w:color w:val="954F72" w:themeColor="followedHyperlink"/>
      <w:u w:val="single"/>
    </w:rPr>
  </w:style>
  <w:style w:type="character" w:customStyle="1" w:styleId="Titre3Car">
    <w:name w:val="Titre 3 Car"/>
    <w:basedOn w:val="Policepardfaut"/>
    <w:link w:val="Titre3"/>
    <w:uiPriority w:val="9"/>
    <w:rsid w:val="00F5670A"/>
    <w:rPr>
      <w:rFonts w:ascii="Century Gothic" w:hAnsi="Century Gothic"/>
      <w:sz w:val="24"/>
      <w:szCs w:val="24"/>
    </w:rPr>
  </w:style>
  <w:style w:type="paragraph" w:styleId="Index1">
    <w:name w:val="index 1"/>
    <w:basedOn w:val="Normal"/>
    <w:next w:val="Normal"/>
    <w:autoRedefine/>
    <w:uiPriority w:val="99"/>
    <w:unhideWhenUsed/>
    <w:rsid w:val="008D0439"/>
    <w:pPr>
      <w:spacing w:before="0" w:after="0"/>
      <w:ind w:left="240" w:hanging="240"/>
      <w:jc w:val="left"/>
    </w:pPr>
    <w:rPr>
      <w:rFonts w:asciiTheme="minorHAnsi" w:hAnsiTheme="minorHAnsi" w:cstheme="minorHAnsi"/>
      <w:sz w:val="20"/>
      <w:szCs w:val="20"/>
    </w:rPr>
  </w:style>
  <w:style w:type="paragraph" w:styleId="Index2">
    <w:name w:val="index 2"/>
    <w:basedOn w:val="Normal"/>
    <w:next w:val="Normal"/>
    <w:autoRedefine/>
    <w:uiPriority w:val="99"/>
    <w:unhideWhenUsed/>
    <w:rsid w:val="008D0439"/>
    <w:pPr>
      <w:spacing w:before="0" w:after="0"/>
      <w:ind w:left="480" w:hanging="240"/>
      <w:jc w:val="left"/>
    </w:pPr>
    <w:rPr>
      <w:rFonts w:asciiTheme="minorHAnsi" w:hAnsiTheme="minorHAnsi" w:cstheme="minorHAnsi"/>
      <w:sz w:val="20"/>
      <w:szCs w:val="20"/>
    </w:rPr>
  </w:style>
  <w:style w:type="paragraph" w:styleId="Index3">
    <w:name w:val="index 3"/>
    <w:basedOn w:val="Normal"/>
    <w:next w:val="Normal"/>
    <w:autoRedefine/>
    <w:uiPriority w:val="99"/>
    <w:unhideWhenUsed/>
    <w:rsid w:val="008D0439"/>
    <w:pPr>
      <w:spacing w:before="0" w:after="0"/>
      <w:ind w:left="720" w:hanging="240"/>
      <w:jc w:val="left"/>
    </w:pPr>
    <w:rPr>
      <w:rFonts w:asciiTheme="minorHAnsi" w:hAnsiTheme="minorHAnsi" w:cstheme="minorHAnsi"/>
      <w:sz w:val="20"/>
      <w:szCs w:val="20"/>
    </w:rPr>
  </w:style>
  <w:style w:type="paragraph" w:styleId="Index4">
    <w:name w:val="index 4"/>
    <w:basedOn w:val="Normal"/>
    <w:next w:val="Normal"/>
    <w:autoRedefine/>
    <w:uiPriority w:val="99"/>
    <w:unhideWhenUsed/>
    <w:rsid w:val="008D0439"/>
    <w:pPr>
      <w:spacing w:before="0" w:after="0"/>
      <w:ind w:left="960" w:hanging="240"/>
      <w:jc w:val="left"/>
    </w:pPr>
    <w:rPr>
      <w:rFonts w:asciiTheme="minorHAnsi" w:hAnsiTheme="minorHAnsi" w:cstheme="minorHAnsi"/>
      <w:sz w:val="20"/>
      <w:szCs w:val="20"/>
    </w:rPr>
  </w:style>
  <w:style w:type="paragraph" w:styleId="Index5">
    <w:name w:val="index 5"/>
    <w:basedOn w:val="Normal"/>
    <w:next w:val="Normal"/>
    <w:autoRedefine/>
    <w:uiPriority w:val="99"/>
    <w:unhideWhenUsed/>
    <w:rsid w:val="008D0439"/>
    <w:pPr>
      <w:spacing w:before="0" w:after="0"/>
      <w:ind w:left="1200" w:hanging="240"/>
      <w:jc w:val="left"/>
    </w:pPr>
    <w:rPr>
      <w:rFonts w:asciiTheme="minorHAnsi" w:hAnsiTheme="minorHAnsi" w:cstheme="minorHAnsi"/>
      <w:sz w:val="20"/>
      <w:szCs w:val="20"/>
    </w:rPr>
  </w:style>
  <w:style w:type="paragraph" w:styleId="Index6">
    <w:name w:val="index 6"/>
    <w:basedOn w:val="Normal"/>
    <w:next w:val="Normal"/>
    <w:autoRedefine/>
    <w:uiPriority w:val="99"/>
    <w:unhideWhenUsed/>
    <w:rsid w:val="008D0439"/>
    <w:pPr>
      <w:spacing w:before="0" w:after="0"/>
      <w:ind w:left="1440" w:hanging="240"/>
      <w:jc w:val="left"/>
    </w:pPr>
    <w:rPr>
      <w:rFonts w:asciiTheme="minorHAnsi" w:hAnsiTheme="minorHAnsi" w:cstheme="minorHAnsi"/>
      <w:sz w:val="20"/>
      <w:szCs w:val="20"/>
    </w:rPr>
  </w:style>
  <w:style w:type="paragraph" w:styleId="Index7">
    <w:name w:val="index 7"/>
    <w:basedOn w:val="Normal"/>
    <w:next w:val="Normal"/>
    <w:autoRedefine/>
    <w:uiPriority w:val="99"/>
    <w:unhideWhenUsed/>
    <w:rsid w:val="008D0439"/>
    <w:pPr>
      <w:spacing w:before="0" w:after="0"/>
      <w:ind w:left="1680" w:hanging="240"/>
      <w:jc w:val="left"/>
    </w:pPr>
    <w:rPr>
      <w:rFonts w:asciiTheme="minorHAnsi" w:hAnsiTheme="minorHAnsi" w:cstheme="minorHAnsi"/>
      <w:sz w:val="20"/>
      <w:szCs w:val="20"/>
    </w:rPr>
  </w:style>
  <w:style w:type="paragraph" w:styleId="Index8">
    <w:name w:val="index 8"/>
    <w:basedOn w:val="Normal"/>
    <w:next w:val="Normal"/>
    <w:autoRedefine/>
    <w:uiPriority w:val="99"/>
    <w:unhideWhenUsed/>
    <w:rsid w:val="008D0439"/>
    <w:pPr>
      <w:spacing w:before="0" w:after="0"/>
      <w:ind w:left="1920" w:hanging="240"/>
      <w:jc w:val="left"/>
    </w:pPr>
    <w:rPr>
      <w:rFonts w:asciiTheme="minorHAnsi" w:hAnsiTheme="minorHAnsi" w:cstheme="minorHAnsi"/>
      <w:sz w:val="20"/>
      <w:szCs w:val="20"/>
    </w:rPr>
  </w:style>
  <w:style w:type="paragraph" w:styleId="Index9">
    <w:name w:val="index 9"/>
    <w:basedOn w:val="Normal"/>
    <w:next w:val="Normal"/>
    <w:autoRedefine/>
    <w:uiPriority w:val="99"/>
    <w:unhideWhenUsed/>
    <w:rsid w:val="008D0439"/>
    <w:pPr>
      <w:spacing w:before="0" w:after="0"/>
      <w:ind w:left="2160" w:hanging="240"/>
      <w:jc w:val="left"/>
    </w:pPr>
    <w:rPr>
      <w:rFonts w:asciiTheme="minorHAnsi" w:hAnsiTheme="minorHAnsi" w:cstheme="minorHAnsi"/>
      <w:sz w:val="20"/>
      <w:szCs w:val="20"/>
    </w:rPr>
  </w:style>
  <w:style w:type="paragraph" w:styleId="Titreindex">
    <w:name w:val="index heading"/>
    <w:basedOn w:val="Normal"/>
    <w:next w:val="Index1"/>
    <w:uiPriority w:val="99"/>
    <w:unhideWhenUsed/>
    <w:rsid w:val="008D0439"/>
    <w:pPr>
      <w:jc w:val="left"/>
    </w:pPr>
    <w:rPr>
      <w:rFonts w:asciiTheme="minorHAnsi" w:hAnsiTheme="minorHAnsi" w:cstheme="minorHAnsi"/>
      <w:b/>
      <w:bCs/>
      <w:i/>
      <w:iCs/>
      <w:sz w:val="20"/>
      <w:szCs w:val="20"/>
    </w:rPr>
  </w:style>
  <w:style w:type="paragraph" w:styleId="Rvision">
    <w:name w:val="Revision"/>
    <w:hidden/>
    <w:uiPriority w:val="99"/>
    <w:semiHidden/>
    <w:rsid w:val="00484086"/>
    <w:rPr>
      <w:rFonts w:ascii="Century Gothic" w:hAnsi="Century Gothic"/>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rcep@arcep.ne" TargetMode="External"/><Relationship Id="rId1" Type="http://schemas.openxmlformats.org/officeDocument/2006/relationships/hyperlink" Target="http://www.arcep.n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16848</Words>
  <Characters>92664</Characters>
  <Application>Microsoft Office Word</Application>
  <DocSecurity>0</DocSecurity>
  <Lines>772</Lines>
  <Paragraphs>218</Paragraphs>
  <ScaleCrop>false</ScaleCrop>
  <HeadingPairs>
    <vt:vector size="2" baseType="variant">
      <vt:variant>
        <vt:lpstr>Titre</vt:lpstr>
      </vt:variant>
      <vt:variant>
        <vt:i4>1</vt:i4>
      </vt:variant>
    </vt:vector>
  </HeadingPairs>
  <TitlesOfParts>
    <vt:vector size="1" baseType="lpstr">
      <vt:lpstr>Avant-projet de plan de transition</vt:lpstr>
    </vt:vector>
  </TitlesOfParts>
  <Manager/>
  <Company/>
  <LinksUpToDate>false</LinksUpToDate>
  <CharactersWithSpaces>109294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Avant-projet de plan de transition</dc:title>
  <dc:subject/>
  <dc:creator>Ahmed Boraud</dc:creator>
  <cp:keywords/>
  <dc:description/>
  <cp:lastModifiedBy>Ahmed Boraud</cp:lastModifiedBy>
  <cp:revision>2</cp:revision>
  <dcterms:created xsi:type="dcterms:W3CDTF">2026-10-19T09:30:00Z</dcterms:created>
  <dcterms:modified xsi:type="dcterms:W3CDTF">2026-10-19T09:30:00Z</dcterms:modified>
  <cp:category/>
</cp:coreProperties>
</file>