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6D9E0" w14:textId="77777777" w:rsidR="00347D9C" w:rsidRPr="00E12A7B" w:rsidRDefault="00347D9C" w:rsidP="00347D9C">
      <w:pPr>
        <w:spacing w:after="0"/>
        <w:jc w:val="center"/>
        <w:rPr>
          <w:rFonts w:ascii="Century Gothic" w:hAnsi="Century Gothic" w:cs="Tahoma"/>
          <w:b/>
          <w:bCs/>
          <w:color w:val="E36C0A"/>
          <w:spacing w:val="40"/>
        </w:rPr>
      </w:pPr>
      <w:r w:rsidRPr="00E12A7B">
        <w:rPr>
          <w:rFonts w:ascii="Century Gothic" w:hAnsi="Century Gothic" w:cs="Tahoma"/>
          <w:b/>
          <w:bCs/>
          <w:color w:val="E36C0A"/>
          <w:spacing w:val="40"/>
        </w:rPr>
        <w:t>REPUBLIQUE DU NIGER</w:t>
      </w:r>
    </w:p>
    <w:p w14:paraId="59514D07" w14:textId="77777777" w:rsidR="00347D9C" w:rsidRPr="00E12A7B" w:rsidRDefault="00347D9C" w:rsidP="00347D9C">
      <w:pPr>
        <w:spacing w:after="0"/>
        <w:jc w:val="center"/>
        <w:rPr>
          <w:rFonts w:ascii="Century Gothic" w:hAnsi="Century Gothic" w:cs="Tahoma"/>
          <w:b/>
          <w:bCs/>
          <w:color w:val="E36C0A"/>
          <w:spacing w:val="40"/>
        </w:rPr>
      </w:pPr>
      <w:r w:rsidRPr="00E12A7B">
        <w:rPr>
          <w:rFonts w:ascii="Century Gothic" w:hAnsi="Century Gothic" w:cs="Tahoma"/>
          <w:b/>
          <w:bCs/>
          <w:color w:val="E36C0A"/>
          <w:spacing w:val="40"/>
        </w:rPr>
        <w:t>CABINET DU PREMIER MINISTRE</w:t>
      </w:r>
    </w:p>
    <w:p w14:paraId="1F04D98A" w14:textId="77777777" w:rsidR="00347D9C" w:rsidRPr="00E12A7B" w:rsidRDefault="00347D9C" w:rsidP="00347D9C">
      <w:pPr>
        <w:spacing w:after="0"/>
        <w:jc w:val="center"/>
        <w:rPr>
          <w:rFonts w:ascii="Century Gothic" w:hAnsi="Century Gothic" w:cs="Tahoma"/>
          <w:b/>
        </w:rPr>
      </w:pPr>
      <w:r w:rsidRPr="00E12A7B">
        <w:rPr>
          <w:rFonts w:ascii="Century Gothic" w:hAnsi="Century Gothic" w:cs="Tahoma"/>
          <w:b/>
          <w:bCs/>
          <w:color w:val="00B050"/>
          <w:spacing w:val="40"/>
        </w:rPr>
        <w:t>AUTORITE DE REGULATION DES COMMUNICATIONS ELECTRONIQUES ET DE LA POSTE</w:t>
      </w:r>
    </w:p>
    <w:p w14:paraId="33F95B44" w14:textId="77777777" w:rsidR="00347D9C" w:rsidRDefault="00347D9C" w:rsidP="00347D9C">
      <w:pPr>
        <w:jc w:val="center"/>
        <w:rPr>
          <w:rFonts w:ascii="Century Gothic" w:hAnsi="Century Gothic"/>
          <w:b/>
        </w:rPr>
      </w:pPr>
    </w:p>
    <w:p w14:paraId="181A4E5D" w14:textId="65D4E8F1" w:rsidR="00347D9C" w:rsidRPr="00A32A66" w:rsidRDefault="00347D9C" w:rsidP="00347D9C">
      <w:pPr>
        <w:jc w:val="center"/>
        <w:rPr>
          <w:rFonts w:ascii="Century Gothic" w:hAnsi="Century Gothic"/>
          <w:b/>
        </w:rPr>
      </w:pPr>
      <w:r w:rsidRPr="00604E35">
        <w:rPr>
          <w:rFonts w:ascii="Century Gothic" w:hAnsi="Century Gothic"/>
          <w:b/>
        </w:rPr>
        <w:t>Avis d’Appel d’Offres Ouvert National</w:t>
      </w:r>
      <w:r>
        <w:rPr>
          <w:rFonts w:ascii="Century Gothic" w:hAnsi="Century Gothic"/>
          <w:b/>
        </w:rPr>
        <w:t xml:space="preserve"> </w:t>
      </w:r>
      <w:r w:rsidRPr="00A32A66">
        <w:rPr>
          <w:rFonts w:ascii="Century Gothic" w:hAnsi="Century Gothic"/>
          <w:b/>
        </w:rPr>
        <w:t>N°001/2026/SR/ARCEP</w:t>
      </w:r>
    </w:p>
    <w:p w14:paraId="443D0759" w14:textId="77777777" w:rsidR="00347D9C" w:rsidRPr="00347D9C" w:rsidRDefault="00347D9C" w:rsidP="00347D9C">
      <w:pPr>
        <w:tabs>
          <w:tab w:val="num" w:pos="648"/>
        </w:tabs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  <w:r w:rsidRPr="00347D9C">
        <w:rPr>
          <w:rFonts w:ascii="Century Gothic" w:hAnsi="Century Gothic"/>
          <w:sz w:val="20"/>
          <w:szCs w:val="20"/>
        </w:rPr>
        <w:t>Cet avis d’appel d’offres fait suite au plan prévisionnel de passation des marchés 2026 de l’Autorité de Régulation des Communications Electroniques et de la Poste (ARCEP) publié dans le quotidien « Le Sahel » n°11.057 paru le 14 janvier 2026.</w:t>
      </w:r>
    </w:p>
    <w:p w14:paraId="123FF8D1" w14:textId="77777777" w:rsidR="00347D9C" w:rsidRDefault="00347D9C" w:rsidP="00347D9C">
      <w:pPr>
        <w:tabs>
          <w:tab w:val="num" w:pos="648"/>
        </w:tabs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14:paraId="6E77D4CE" w14:textId="77777777" w:rsidR="00347D9C" w:rsidRDefault="00347D9C" w:rsidP="00347D9C">
      <w:pPr>
        <w:tabs>
          <w:tab w:val="num" w:pos="648"/>
        </w:tabs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  <w:r w:rsidRPr="00347D9C">
        <w:rPr>
          <w:rFonts w:ascii="Century Gothic" w:hAnsi="Century Gothic"/>
          <w:sz w:val="20"/>
          <w:szCs w:val="20"/>
        </w:rPr>
        <w:t xml:space="preserve">L’ARCEP dispose de ressources </w:t>
      </w:r>
      <w:bookmarkStart w:id="0" w:name="_Hlk171628607"/>
      <w:r w:rsidRPr="00347D9C">
        <w:rPr>
          <w:rFonts w:ascii="Century Gothic" w:hAnsi="Century Gothic"/>
          <w:sz w:val="20"/>
          <w:szCs w:val="20"/>
        </w:rPr>
        <w:t xml:space="preserve">pour financer ses activités et a l’intention d’utiliser </w:t>
      </w:r>
      <w:bookmarkEnd w:id="0"/>
      <w:r w:rsidRPr="00347D9C">
        <w:rPr>
          <w:rFonts w:ascii="Century Gothic" w:hAnsi="Century Gothic"/>
          <w:sz w:val="20"/>
          <w:szCs w:val="20"/>
        </w:rPr>
        <w:t xml:space="preserve">une partie pour effectuer des paiements au titre du marché relatif </w:t>
      </w:r>
      <w:r w:rsidRPr="00347D9C">
        <w:rPr>
          <w:rFonts w:ascii="Century Gothic" w:hAnsi="Century Gothic"/>
          <w:b/>
          <w:bCs/>
          <w:i/>
          <w:iCs/>
          <w:sz w:val="20"/>
          <w:szCs w:val="20"/>
        </w:rPr>
        <w:t>à l’acquisition de 2200 cartons de sucre en carreaux</w:t>
      </w:r>
      <w:r w:rsidRPr="00347D9C">
        <w:rPr>
          <w:rFonts w:ascii="Century Gothic" w:hAnsi="Century Gothic"/>
          <w:sz w:val="20"/>
          <w:szCs w:val="20"/>
        </w:rPr>
        <w:t>.</w:t>
      </w:r>
    </w:p>
    <w:p w14:paraId="505E581A" w14:textId="313B619C" w:rsidR="00347D9C" w:rsidRPr="00347D9C" w:rsidRDefault="00347D9C" w:rsidP="00347D9C">
      <w:pPr>
        <w:tabs>
          <w:tab w:val="num" w:pos="648"/>
        </w:tabs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  <w:r w:rsidRPr="00347D9C">
        <w:rPr>
          <w:rFonts w:ascii="Century Gothic" w:hAnsi="Century Gothic"/>
          <w:sz w:val="20"/>
          <w:szCs w:val="20"/>
        </w:rPr>
        <w:t>L’ARCEP sollicite des offres fermées de la part de candidats éligibles et répondant aux qualifications requises pour l’exécution de ce marché</w:t>
      </w:r>
      <w:r w:rsidRPr="00347D9C">
        <w:rPr>
          <w:rFonts w:ascii="Century Gothic" w:hAnsi="Century Gothic"/>
          <w:i/>
          <w:iCs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 xml:space="preserve"> </w:t>
      </w:r>
      <w:r w:rsidRPr="00347D9C">
        <w:rPr>
          <w:rFonts w:ascii="Century Gothic" w:hAnsi="Century Gothic"/>
          <w:sz w:val="20"/>
          <w:szCs w:val="20"/>
        </w:rPr>
        <w:t xml:space="preserve">La passation de ce marché sera conduite par appel d’offres ouvert national tel que défini par les dispositions de l’article </w:t>
      </w:r>
      <w:bookmarkStart w:id="1" w:name="_Hlk171615074"/>
      <w:r w:rsidRPr="00347D9C">
        <w:rPr>
          <w:rFonts w:ascii="Century Gothic" w:hAnsi="Century Gothic"/>
          <w:bCs/>
          <w:i/>
          <w:iCs/>
          <w:sz w:val="20"/>
          <w:szCs w:val="20"/>
        </w:rPr>
        <w:t>30 du Décret n° 2022-743/PRN/PM du 29 septembre 2022 portant Code des marchés publics et des délégations de service public</w:t>
      </w:r>
      <w:bookmarkEnd w:id="1"/>
      <w:r w:rsidRPr="00347D9C">
        <w:rPr>
          <w:rFonts w:ascii="Century Gothic" w:hAnsi="Century Gothic"/>
          <w:bCs/>
          <w:i/>
          <w:iCs/>
          <w:sz w:val="20"/>
          <w:szCs w:val="20"/>
        </w:rPr>
        <w:t xml:space="preserve">. </w:t>
      </w:r>
    </w:p>
    <w:p w14:paraId="5A410A59" w14:textId="77777777" w:rsidR="00347D9C" w:rsidRDefault="00347D9C" w:rsidP="00347D9C">
      <w:pPr>
        <w:tabs>
          <w:tab w:val="num" w:pos="648"/>
        </w:tabs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14:paraId="4E66CCA3" w14:textId="68763A35" w:rsidR="00347D9C" w:rsidRPr="00347D9C" w:rsidRDefault="00347D9C" w:rsidP="00347D9C">
      <w:pPr>
        <w:tabs>
          <w:tab w:val="num" w:pos="648"/>
        </w:tabs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  <w:r w:rsidRPr="00347D9C">
        <w:rPr>
          <w:rFonts w:ascii="Century Gothic" w:hAnsi="Century Gothic"/>
          <w:sz w:val="20"/>
          <w:szCs w:val="20"/>
        </w:rPr>
        <w:t xml:space="preserve">Les candidats intéressés peuvent obtenir des informations auprès du Directeur de la Logistique et des Approvisionnements </w:t>
      </w:r>
      <w:r>
        <w:rPr>
          <w:rFonts w:ascii="Century Gothic" w:hAnsi="Century Gothic"/>
          <w:sz w:val="20"/>
          <w:szCs w:val="20"/>
        </w:rPr>
        <w:t xml:space="preserve">de </w:t>
      </w:r>
      <w:r w:rsidRPr="00347D9C">
        <w:rPr>
          <w:rFonts w:ascii="Century Gothic" w:hAnsi="Century Gothic"/>
          <w:sz w:val="20"/>
          <w:szCs w:val="20"/>
        </w:rPr>
        <w:t xml:space="preserve">l’ARCEP au </w:t>
      </w:r>
      <w:r w:rsidRPr="00347D9C">
        <w:rPr>
          <w:rFonts w:ascii="Century Gothic" w:hAnsi="Century Gothic"/>
          <w:iCs/>
          <w:sz w:val="20"/>
          <w:szCs w:val="20"/>
        </w:rPr>
        <w:t xml:space="preserve">courriel : </w:t>
      </w:r>
      <w:hyperlink r:id="rId5" w:history="1">
        <w:r w:rsidRPr="00347D9C">
          <w:rPr>
            <w:rStyle w:val="Lienhypertexte"/>
            <w:rFonts w:ascii="Century Gothic" w:hAnsi="Century Gothic"/>
            <w:iCs/>
            <w:sz w:val="20"/>
            <w:szCs w:val="20"/>
          </w:rPr>
          <w:t>djibo.amadou@arcep.ne</w:t>
        </w:r>
      </w:hyperlink>
      <w:r w:rsidRPr="00347D9C">
        <w:rPr>
          <w:rFonts w:ascii="Century Gothic" w:hAnsi="Century Gothic"/>
          <w:iCs/>
          <w:sz w:val="20"/>
          <w:szCs w:val="20"/>
        </w:rPr>
        <w:t xml:space="preserve"> ou à l’adresse suivante</w:t>
      </w:r>
      <w:r w:rsidRPr="00347D9C">
        <w:rPr>
          <w:rFonts w:ascii="Century Gothic" w:hAnsi="Century Gothic"/>
          <w:sz w:val="20"/>
          <w:szCs w:val="20"/>
        </w:rPr>
        <w:t xml:space="preserve"> :  </w:t>
      </w:r>
      <w:r w:rsidRPr="00347D9C">
        <w:rPr>
          <w:rFonts w:ascii="Century Gothic" w:hAnsi="Century Gothic"/>
          <w:b/>
          <w:bCs/>
          <w:sz w:val="20"/>
          <w:szCs w:val="20"/>
        </w:rPr>
        <w:t xml:space="preserve">Département Passation des Marchés, </w:t>
      </w:r>
      <w:r w:rsidRPr="00347D9C">
        <w:rPr>
          <w:rFonts w:ascii="Century Gothic" w:hAnsi="Century Gothic"/>
          <w:b/>
          <w:bCs/>
          <w:iCs/>
          <w:sz w:val="20"/>
          <w:szCs w:val="20"/>
        </w:rPr>
        <w:t>ARCEP, 4</w:t>
      </w:r>
      <w:r w:rsidRPr="00347D9C">
        <w:rPr>
          <w:rFonts w:ascii="Century Gothic" w:hAnsi="Century Gothic"/>
          <w:b/>
          <w:bCs/>
          <w:iCs/>
          <w:sz w:val="20"/>
          <w:szCs w:val="20"/>
          <w:vertAlign w:val="superscript"/>
        </w:rPr>
        <w:t>ème</w:t>
      </w:r>
      <w:r w:rsidRPr="00347D9C">
        <w:rPr>
          <w:rFonts w:ascii="Century Gothic" w:hAnsi="Century Gothic"/>
          <w:b/>
          <w:bCs/>
          <w:iCs/>
          <w:sz w:val="20"/>
          <w:szCs w:val="20"/>
        </w:rPr>
        <w:t xml:space="preserve"> étage, Porte 4-08, sise derrière la Commune II de Niamey,</w:t>
      </w:r>
      <w:r w:rsidRPr="00347D9C">
        <w:rPr>
          <w:rFonts w:ascii="Century Gothic" w:hAnsi="Century Gothic"/>
          <w:b/>
          <w:bCs/>
          <w:sz w:val="20"/>
          <w:szCs w:val="20"/>
        </w:rPr>
        <w:t xml:space="preserve"> du lundi au jeudi de 09 h</w:t>
      </w:r>
      <w:r>
        <w:rPr>
          <w:rFonts w:ascii="Century Gothic" w:hAnsi="Century Gothic"/>
          <w:b/>
          <w:bCs/>
          <w:sz w:val="20"/>
          <w:szCs w:val="20"/>
        </w:rPr>
        <w:t>eures</w:t>
      </w:r>
      <w:r w:rsidRPr="00347D9C">
        <w:rPr>
          <w:rFonts w:ascii="Century Gothic" w:hAnsi="Century Gothic"/>
          <w:b/>
          <w:bCs/>
          <w:sz w:val="20"/>
          <w:szCs w:val="20"/>
        </w:rPr>
        <w:t xml:space="preserve"> à 17 h</w:t>
      </w:r>
      <w:r>
        <w:rPr>
          <w:rFonts w:ascii="Century Gothic" w:hAnsi="Century Gothic"/>
          <w:b/>
          <w:bCs/>
          <w:sz w:val="20"/>
          <w:szCs w:val="20"/>
        </w:rPr>
        <w:t>eures</w:t>
      </w:r>
      <w:r w:rsidRPr="00347D9C">
        <w:rPr>
          <w:rFonts w:ascii="Century Gothic" w:hAnsi="Century Gothic"/>
          <w:b/>
          <w:bCs/>
          <w:sz w:val="20"/>
          <w:szCs w:val="20"/>
        </w:rPr>
        <w:t xml:space="preserve"> et le vendredi de 09 h</w:t>
      </w:r>
      <w:r>
        <w:rPr>
          <w:rFonts w:ascii="Century Gothic" w:hAnsi="Century Gothic"/>
          <w:b/>
          <w:bCs/>
          <w:sz w:val="20"/>
          <w:szCs w:val="20"/>
        </w:rPr>
        <w:t>eures</w:t>
      </w:r>
      <w:r w:rsidRPr="00347D9C">
        <w:rPr>
          <w:rFonts w:ascii="Century Gothic" w:hAnsi="Century Gothic"/>
          <w:b/>
          <w:bCs/>
          <w:sz w:val="20"/>
          <w:szCs w:val="20"/>
        </w:rPr>
        <w:t xml:space="preserve"> à 12 h</w:t>
      </w:r>
      <w:r>
        <w:rPr>
          <w:rFonts w:ascii="Century Gothic" w:hAnsi="Century Gothic"/>
          <w:b/>
          <w:bCs/>
          <w:sz w:val="20"/>
          <w:szCs w:val="20"/>
        </w:rPr>
        <w:t>eures</w:t>
      </w:r>
      <w:r w:rsidRPr="00347D9C">
        <w:rPr>
          <w:rFonts w:ascii="Century Gothic" w:hAnsi="Century Gothic"/>
          <w:sz w:val="20"/>
          <w:szCs w:val="20"/>
        </w:rPr>
        <w:t>.</w:t>
      </w:r>
    </w:p>
    <w:p w14:paraId="2AA63D08" w14:textId="2532F6A1" w:rsidR="00347D9C" w:rsidRPr="00347D9C" w:rsidRDefault="00347D9C" w:rsidP="00347D9C">
      <w:pPr>
        <w:tabs>
          <w:tab w:val="num" w:pos="648"/>
        </w:tabs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  <w:r w:rsidRPr="00347D9C">
        <w:rPr>
          <w:rFonts w:ascii="Century Gothic" w:hAnsi="Century Gothic"/>
          <w:sz w:val="20"/>
          <w:szCs w:val="20"/>
        </w:rPr>
        <w:t>Les exigences en matière de qualifications sont celles décrites dans les données particulières du dossier d’appel offres.</w:t>
      </w:r>
      <w:r>
        <w:rPr>
          <w:rFonts w:ascii="Century Gothic" w:hAnsi="Century Gothic"/>
          <w:sz w:val="20"/>
          <w:szCs w:val="20"/>
        </w:rPr>
        <w:t xml:space="preserve"> Cet </w:t>
      </w:r>
      <w:r w:rsidRPr="00347D9C">
        <w:rPr>
          <w:rFonts w:ascii="Century Gothic" w:hAnsi="Century Gothic"/>
          <w:sz w:val="20"/>
          <w:szCs w:val="20"/>
        </w:rPr>
        <w:t xml:space="preserve">avis d’appel d’offres est </w:t>
      </w:r>
      <w:r>
        <w:rPr>
          <w:rFonts w:ascii="Century Gothic" w:hAnsi="Century Gothic"/>
          <w:sz w:val="20"/>
          <w:szCs w:val="20"/>
        </w:rPr>
        <w:t xml:space="preserve">posté </w:t>
      </w:r>
      <w:r w:rsidRPr="00347D9C">
        <w:rPr>
          <w:rFonts w:ascii="Century Gothic" w:hAnsi="Century Gothic"/>
          <w:iCs/>
          <w:sz w:val="20"/>
          <w:szCs w:val="20"/>
        </w:rPr>
        <w:t>sur le site web de l’ARCEP :</w:t>
      </w:r>
      <w:r w:rsidRPr="00347D9C">
        <w:rPr>
          <w:rFonts w:ascii="Century Gothic" w:hAnsi="Century Gothic"/>
          <w:i/>
          <w:iCs/>
          <w:sz w:val="20"/>
          <w:szCs w:val="20"/>
        </w:rPr>
        <w:t xml:space="preserve"> http://</w:t>
      </w:r>
      <w:hyperlink r:id="rId6" w:history="1">
        <w:r w:rsidRPr="00347D9C">
          <w:rPr>
            <w:rStyle w:val="Lienhypertexte"/>
            <w:rFonts w:ascii="Century Gothic" w:hAnsi="Century Gothic"/>
            <w:i/>
            <w:iCs/>
            <w:sz w:val="20"/>
            <w:szCs w:val="20"/>
          </w:rPr>
          <w:t>www.arcep.ne</w:t>
        </w:r>
      </w:hyperlink>
      <w:r w:rsidRPr="00347D9C">
        <w:rPr>
          <w:rStyle w:val="Lienhypertexte"/>
          <w:rFonts w:ascii="Century Gothic" w:hAnsi="Century Gothic"/>
          <w:i/>
          <w:iCs/>
          <w:sz w:val="20"/>
          <w:szCs w:val="20"/>
        </w:rPr>
        <w:t xml:space="preserve">  </w:t>
      </w:r>
      <w:r w:rsidRPr="00347D9C">
        <w:rPr>
          <w:rFonts w:ascii="Century Gothic" w:hAnsi="Century Gothic"/>
          <w:i/>
          <w:iCs/>
          <w:sz w:val="20"/>
          <w:szCs w:val="20"/>
        </w:rPr>
        <w:t xml:space="preserve">  </w:t>
      </w:r>
    </w:p>
    <w:p w14:paraId="468021D0" w14:textId="03984322" w:rsidR="00347D9C" w:rsidRPr="00347D9C" w:rsidRDefault="00347D9C" w:rsidP="00347D9C">
      <w:pPr>
        <w:tabs>
          <w:tab w:val="num" w:pos="648"/>
        </w:tabs>
        <w:autoSpaceDN w:val="0"/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347D9C">
        <w:rPr>
          <w:rFonts w:ascii="Century Gothic" w:hAnsi="Century Gothic"/>
          <w:sz w:val="20"/>
          <w:szCs w:val="20"/>
        </w:rPr>
        <w:t xml:space="preserve">Les candidats intéressés peuvent consulter gratuitement le </w:t>
      </w:r>
      <w:r>
        <w:rPr>
          <w:rFonts w:ascii="Century Gothic" w:hAnsi="Century Gothic"/>
          <w:sz w:val="20"/>
          <w:szCs w:val="20"/>
        </w:rPr>
        <w:t>d</w:t>
      </w:r>
      <w:r w:rsidRPr="00347D9C">
        <w:rPr>
          <w:rFonts w:ascii="Century Gothic" w:hAnsi="Century Gothic"/>
          <w:sz w:val="20"/>
          <w:szCs w:val="20"/>
        </w:rPr>
        <w:t>ossier d’</w:t>
      </w:r>
      <w:r>
        <w:rPr>
          <w:rFonts w:ascii="Century Gothic" w:hAnsi="Century Gothic"/>
          <w:sz w:val="20"/>
          <w:szCs w:val="20"/>
        </w:rPr>
        <w:t>a</w:t>
      </w:r>
      <w:r w:rsidRPr="00347D9C">
        <w:rPr>
          <w:rFonts w:ascii="Century Gothic" w:hAnsi="Century Gothic"/>
          <w:sz w:val="20"/>
          <w:szCs w:val="20"/>
        </w:rPr>
        <w:t>ppel d’</w:t>
      </w:r>
      <w:r>
        <w:rPr>
          <w:rFonts w:ascii="Century Gothic" w:hAnsi="Century Gothic"/>
          <w:sz w:val="20"/>
          <w:szCs w:val="20"/>
        </w:rPr>
        <w:t>o</w:t>
      </w:r>
      <w:r w:rsidRPr="00347D9C">
        <w:rPr>
          <w:rFonts w:ascii="Century Gothic" w:hAnsi="Century Gothic"/>
          <w:sz w:val="20"/>
          <w:szCs w:val="20"/>
        </w:rPr>
        <w:t xml:space="preserve">ffres au bureau 4-07 du chef de département passation des marchés ou le retirer moyennant le versement d’une somme non remboursable de </w:t>
      </w:r>
      <w:r w:rsidRPr="00347D9C">
        <w:rPr>
          <w:rFonts w:ascii="Century Gothic" w:hAnsi="Century Gothic"/>
          <w:b/>
          <w:i/>
          <w:iCs/>
          <w:sz w:val="20"/>
          <w:szCs w:val="20"/>
        </w:rPr>
        <w:t>cent mille (100 000) francs CFA au compte bancaire de l’ARCEP : SONIBANK n°NE064 01001 251110 56761/19, Code SWIFT : SOCNNENI</w:t>
      </w:r>
      <w:r w:rsidRPr="00347D9C">
        <w:rPr>
          <w:rFonts w:ascii="Century Gothic" w:hAnsi="Century Gothic"/>
          <w:b/>
          <w:sz w:val="20"/>
          <w:szCs w:val="20"/>
        </w:rPr>
        <w:t>.</w:t>
      </w:r>
    </w:p>
    <w:p w14:paraId="1783BBED" w14:textId="72FEBD8B" w:rsidR="00347D9C" w:rsidRPr="00347D9C" w:rsidRDefault="00347D9C" w:rsidP="00347D9C">
      <w:pPr>
        <w:tabs>
          <w:tab w:val="num" w:pos="648"/>
        </w:tabs>
        <w:autoSpaceDN w:val="0"/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347D9C">
        <w:rPr>
          <w:rFonts w:ascii="Century Gothic" w:hAnsi="Century Gothic"/>
          <w:sz w:val="20"/>
          <w:szCs w:val="20"/>
        </w:rPr>
        <w:t>Les</w:t>
      </w:r>
      <w:r w:rsidRPr="00347D9C">
        <w:rPr>
          <w:rFonts w:ascii="Century Gothic" w:hAnsi="Century Gothic"/>
          <w:bCs/>
          <w:sz w:val="20"/>
          <w:szCs w:val="20"/>
        </w:rPr>
        <w:t xml:space="preserve"> offres doivent être déposées à l’adresse ci-après : </w:t>
      </w:r>
      <w:r w:rsidRPr="003A4182">
        <w:rPr>
          <w:rFonts w:ascii="Century Gothic" w:hAnsi="Century Gothic"/>
          <w:b/>
          <w:bCs/>
          <w:sz w:val="20"/>
          <w:szCs w:val="20"/>
        </w:rPr>
        <w:t xml:space="preserve">Direction Générale de l’ARCEP - Bureau d’Ordre au rez-de-chaussée - Porte 0-12 au plus tard le </w:t>
      </w:r>
      <w:r>
        <w:rPr>
          <w:rFonts w:ascii="Century Gothic" w:hAnsi="Century Gothic"/>
          <w:b/>
          <w:bCs/>
          <w:sz w:val="20"/>
          <w:szCs w:val="20"/>
        </w:rPr>
        <w:t xml:space="preserve">20 </w:t>
      </w:r>
      <w:r w:rsidRPr="0068663B">
        <w:rPr>
          <w:rFonts w:ascii="Century Gothic" w:eastAsia="Times New Roman" w:hAnsi="Century Gothic" w:cs="Arial"/>
          <w:b/>
          <w:bCs/>
          <w:sz w:val="20"/>
          <w:szCs w:val="20"/>
          <w:lang w:eastAsia="fr-FR"/>
        </w:rPr>
        <w:t>février 2026 à 10 heures</w:t>
      </w:r>
      <w:r w:rsidRPr="003A4182">
        <w:rPr>
          <w:rFonts w:ascii="Century Gothic" w:hAnsi="Century Gothic"/>
          <w:b/>
          <w:bCs/>
          <w:iCs/>
          <w:sz w:val="20"/>
          <w:szCs w:val="20"/>
        </w:rPr>
        <w:t>, heure locale</w:t>
      </w:r>
      <w:r w:rsidRPr="003A4182">
        <w:rPr>
          <w:rFonts w:ascii="Century Gothic" w:hAnsi="Century Gothic"/>
          <w:sz w:val="20"/>
          <w:szCs w:val="20"/>
        </w:rPr>
        <w:t>.</w:t>
      </w:r>
    </w:p>
    <w:p w14:paraId="161675B8" w14:textId="71A079E9" w:rsidR="00347D9C" w:rsidRPr="003A4182" w:rsidRDefault="00347D9C" w:rsidP="00347D9C">
      <w:pPr>
        <w:tabs>
          <w:tab w:val="num" w:pos="648"/>
        </w:tabs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  <w:r w:rsidRPr="00347D9C">
        <w:rPr>
          <w:rFonts w:ascii="Century Gothic" w:hAnsi="Century Gothic"/>
          <w:sz w:val="20"/>
          <w:szCs w:val="20"/>
        </w:rPr>
        <w:t xml:space="preserve">Les offres déposées après la date et l’heure limites fixées pour la remise des offres ne seront pas acceptées. Les offres seront ouvertes en présence </w:t>
      </w:r>
      <w:r>
        <w:rPr>
          <w:rFonts w:ascii="Century Gothic" w:hAnsi="Century Gothic"/>
          <w:sz w:val="20"/>
          <w:szCs w:val="20"/>
        </w:rPr>
        <w:t xml:space="preserve">d’un huissier de justice et </w:t>
      </w:r>
      <w:r w:rsidRPr="00347D9C">
        <w:rPr>
          <w:rFonts w:ascii="Century Gothic" w:hAnsi="Century Gothic"/>
          <w:sz w:val="20"/>
          <w:szCs w:val="20"/>
        </w:rPr>
        <w:t xml:space="preserve">des représentants des soumissionnaires qui souhaitent assister à l’ouverture des plis le </w:t>
      </w:r>
      <w:r w:rsidRPr="00347D9C">
        <w:rPr>
          <w:rFonts w:ascii="Century Gothic" w:hAnsi="Century Gothic"/>
          <w:b/>
          <w:bCs/>
          <w:sz w:val="20"/>
          <w:szCs w:val="20"/>
        </w:rPr>
        <w:t>20 février 2026 à 10h 30 mn, heure locale</w:t>
      </w:r>
      <w:r w:rsidRPr="00347D9C">
        <w:rPr>
          <w:rFonts w:ascii="Century Gothic" w:hAnsi="Century Gothic"/>
          <w:sz w:val="20"/>
          <w:szCs w:val="20"/>
        </w:rPr>
        <w:t xml:space="preserve"> à l’adresse suivante :</w:t>
      </w:r>
      <w:r>
        <w:rPr>
          <w:rFonts w:ascii="Century Gothic" w:hAnsi="Century Gothic"/>
          <w:sz w:val="20"/>
          <w:szCs w:val="20"/>
        </w:rPr>
        <w:t xml:space="preserve"> </w:t>
      </w:r>
      <w:r w:rsidRPr="003A4182">
        <w:rPr>
          <w:rFonts w:ascii="Century Gothic" w:hAnsi="Century Gothic"/>
          <w:b/>
          <w:bCs/>
          <w:i/>
          <w:iCs/>
          <w:sz w:val="20"/>
          <w:szCs w:val="20"/>
        </w:rPr>
        <w:t>Salle de réunion Mme SORY Boubacar Zalika</w:t>
      </w:r>
      <w:r w:rsidRPr="003A4182">
        <w:rPr>
          <w:rFonts w:ascii="Century Gothic" w:hAnsi="Century Gothic"/>
          <w:sz w:val="20"/>
          <w:szCs w:val="20"/>
        </w:rPr>
        <w:t xml:space="preserve"> au rez-de-chaussée de l’immeuble de l’ARCEP sis derrière la commune II Niamey.</w:t>
      </w:r>
    </w:p>
    <w:p w14:paraId="76AECECF" w14:textId="77777777" w:rsidR="00347D9C" w:rsidRPr="00347D9C" w:rsidRDefault="00347D9C" w:rsidP="00347D9C">
      <w:pPr>
        <w:tabs>
          <w:tab w:val="num" w:pos="648"/>
        </w:tabs>
        <w:autoSpaceDN w:val="0"/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347D9C">
        <w:rPr>
          <w:rFonts w:ascii="Century Gothic" w:hAnsi="Century Gothic"/>
          <w:bCs/>
          <w:sz w:val="20"/>
          <w:szCs w:val="20"/>
        </w:rPr>
        <w:t xml:space="preserve">Les candidats resteront engagés par leur offre pendant une période de cent vingt (120) jours à </w:t>
      </w:r>
      <w:r w:rsidRPr="00347D9C">
        <w:rPr>
          <w:rFonts w:ascii="Century Gothic" w:hAnsi="Century Gothic"/>
          <w:sz w:val="20"/>
          <w:szCs w:val="20"/>
        </w:rPr>
        <w:t>compter</w:t>
      </w:r>
      <w:r w:rsidRPr="00347D9C">
        <w:rPr>
          <w:rFonts w:ascii="Century Gothic" w:hAnsi="Century Gothic"/>
          <w:bCs/>
          <w:sz w:val="20"/>
          <w:szCs w:val="20"/>
        </w:rPr>
        <w:t xml:space="preserve"> de la date limite du dépôt des offres, comme spécifié au point 18.1 des IC et aux données particulières de l’appel d’offres.</w:t>
      </w:r>
    </w:p>
    <w:p w14:paraId="6DFB19DA" w14:textId="77777777" w:rsidR="00347D9C" w:rsidRDefault="00347D9C" w:rsidP="00347D9C">
      <w:pPr>
        <w:tabs>
          <w:tab w:val="num" w:pos="648"/>
        </w:tabs>
        <w:autoSpaceDN w:val="0"/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2B40D988" w14:textId="02ED8B06" w:rsidR="00347D9C" w:rsidRPr="00347D9C" w:rsidRDefault="00347D9C" w:rsidP="00347D9C">
      <w:pPr>
        <w:tabs>
          <w:tab w:val="num" w:pos="648"/>
        </w:tabs>
        <w:autoSpaceDN w:val="0"/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  <w:r w:rsidRPr="00347D9C">
        <w:rPr>
          <w:rFonts w:ascii="Century Gothic" w:hAnsi="Century Gothic"/>
          <w:b/>
          <w:bCs/>
          <w:sz w:val="20"/>
          <w:szCs w:val="20"/>
        </w:rPr>
        <w:t xml:space="preserve">Par décision motivée, l’ARCEP se réserve le droit de ne donner aucune suite à tout ou partie du </w:t>
      </w:r>
      <w:r w:rsidRPr="00347D9C">
        <w:rPr>
          <w:rFonts w:ascii="Century Gothic" w:hAnsi="Century Gothic"/>
          <w:b/>
          <w:sz w:val="20"/>
          <w:szCs w:val="20"/>
        </w:rPr>
        <w:t>présent</w:t>
      </w:r>
      <w:r w:rsidRPr="00347D9C">
        <w:rPr>
          <w:rFonts w:ascii="Century Gothic" w:hAnsi="Century Gothic"/>
          <w:b/>
          <w:bCs/>
          <w:sz w:val="20"/>
          <w:szCs w:val="20"/>
        </w:rPr>
        <w:t xml:space="preserve"> appel d’offres.</w:t>
      </w:r>
    </w:p>
    <w:p w14:paraId="71E5F378" w14:textId="77777777" w:rsidR="00347D9C" w:rsidRPr="003A4182" w:rsidRDefault="00347D9C" w:rsidP="00347D9C">
      <w:pPr>
        <w:spacing w:line="240" w:lineRule="auto"/>
        <w:ind w:left="5040"/>
        <w:rPr>
          <w:rFonts w:ascii="Century Gothic" w:hAnsi="Century Gothic"/>
          <w:b/>
          <w:spacing w:val="-3"/>
          <w:sz w:val="20"/>
          <w:szCs w:val="20"/>
        </w:rPr>
      </w:pPr>
    </w:p>
    <w:p w14:paraId="1DBA4439" w14:textId="77777777" w:rsidR="00347D9C" w:rsidRPr="003A4182" w:rsidRDefault="00347D9C" w:rsidP="00347D9C">
      <w:pPr>
        <w:spacing w:line="240" w:lineRule="auto"/>
        <w:ind w:left="5040"/>
        <w:rPr>
          <w:rFonts w:ascii="Century Gothic" w:hAnsi="Century Gothic"/>
          <w:b/>
          <w:spacing w:val="-3"/>
          <w:sz w:val="20"/>
          <w:szCs w:val="20"/>
        </w:rPr>
      </w:pPr>
    </w:p>
    <w:p w14:paraId="11CC04BA" w14:textId="773C77F8" w:rsidR="00347D9C" w:rsidRDefault="00347D9C" w:rsidP="0073530D">
      <w:pPr>
        <w:spacing w:line="240" w:lineRule="auto"/>
        <w:ind w:left="5040"/>
      </w:pPr>
      <w:r w:rsidRPr="003A4182">
        <w:rPr>
          <w:rFonts w:ascii="Century Gothic" w:hAnsi="Century Gothic"/>
          <w:b/>
          <w:spacing w:val="-3"/>
          <w:sz w:val="20"/>
          <w:szCs w:val="20"/>
          <w:u w:val="single"/>
        </w:rPr>
        <w:t xml:space="preserve">SALISSOU MAMANE </w:t>
      </w:r>
    </w:p>
    <w:sectPr w:rsidR="00347D9C" w:rsidSect="00347D9C">
      <w:headerReference w:type="default" r:id="rId7"/>
      <w:footerReference w:type="default" r:id="rId8"/>
      <w:pgSz w:w="11906" w:h="16838"/>
      <w:pgMar w:top="601" w:right="1417" w:bottom="1417" w:left="1417" w:header="56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A41D3" w14:textId="77777777" w:rsidR="00347D9C" w:rsidRPr="006D4C8C" w:rsidRDefault="00347D9C" w:rsidP="008E7678">
    <w:pPr>
      <w:pStyle w:val="Pieddepage"/>
      <w:pBdr>
        <w:top w:val="thinThickSmallGap" w:sz="24" w:space="1" w:color="622423"/>
      </w:pBdr>
      <w:tabs>
        <w:tab w:val="clear" w:pos="4536"/>
        <w:tab w:val="clear" w:pos="9072"/>
        <w:tab w:val="right" w:pos="9638"/>
      </w:tabs>
      <w:rPr>
        <w:rFonts w:ascii="Cambria" w:hAnsi="Cambria"/>
        <w:sz w:val="13"/>
        <w:szCs w:val="13"/>
      </w:rPr>
    </w:pPr>
    <w:r>
      <w:rPr>
        <w:sz w:val="13"/>
        <w:szCs w:val="13"/>
      </w:rPr>
      <w:t>Derrière la Commune II</w:t>
    </w:r>
    <w:r w:rsidRPr="00580D23">
      <w:rPr>
        <w:sz w:val="13"/>
        <w:szCs w:val="13"/>
      </w:rPr>
      <w:t xml:space="preserve">, BP 13179 Niamey - Tél. : +227 20 73 90 08 / 20 73 90 11 – Fax : +227 20 73 85 91 - Email </w:t>
    </w:r>
    <w:hyperlink r:id="rId1" w:history="1">
      <w:r w:rsidRPr="00113169">
        <w:rPr>
          <w:rStyle w:val="Lienhypertexte"/>
          <w:b/>
          <w:bCs/>
          <w:sz w:val="13"/>
          <w:szCs w:val="13"/>
        </w:rPr>
        <w:t>arcep@arcep.ne</w:t>
      </w:r>
    </w:hyperlink>
    <w:r w:rsidRPr="00580D23">
      <w:rPr>
        <w:sz w:val="13"/>
        <w:szCs w:val="13"/>
      </w:rPr>
      <w:t>,</w:t>
    </w:r>
    <w:r>
      <w:rPr>
        <w:sz w:val="13"/>
        <w:szCs w:val="13"/>
      </w:rPr>
      <w:t xml:space="preserve"> </w:t>
    </w:r>
    <w:r w:rsidRPr="00580D23">
      <w:rPr>
        <w:sz w:val="13"/>
        <w:szCs w:val="13"/>
      </w:rPr>
      <w:t xml:space="preserve"> - </w:t>
    </w:r>
    <w:hyperlink r:id="rId2" w:history="1">
      <w:r w:rsidRPr="00113169">
        <w:rPr>
          <w:rStyle w:val="Lienhypertexte"/>
          <w:sz w:val="13"/>
          <w:szCs w:val="13"/>
        </w:rPr>
        <w:t>http://www.arcep.ne</w:t>
      </w:r>
    </w:hyperlink>
    <w:r w:rsidRPr="00580D23">
      <w:rPr>
        <w:sz w:val="13"/>
        <w:szCs w:val="13"/>
      </w:rP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AB138" w14:textId="77777777" w:rsidR="00347D9C" w:rsidRPr="00FC3F44" w:rsidRDefault="00347D9C" w:rsidP="00FC3F44">
    <w:pPr>
      <w:pStyle w:val="En-tte"/>
      <w:spacing w:after="0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81501"/>
    <w:multiLevelType w:val="hybridMultilevel"/>
    <w:tmpl w:val="A09C2848"/>
    <w:lvl w:ilvl="0" w:tplc="B096FE2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020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D9C"/>
    <w:rsid w:val="00347D9C"/>
    <w:rsid w:val="0073530D"/>
    <w:rsid w:val="0077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05656"/>
  <w15:chartTrackingRefBased/>
  <w15:docId w15:val="{DAB63B05-4F4B-4597-BD16-B9FFD65D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D9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47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47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47D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47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47D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47D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47D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47D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47D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47D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47D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47D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47D9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47D9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47D9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47D9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47D9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47D9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47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47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47D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47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47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47D9C"/>
    <w:rPr>
      <w:i/>
      <w:iCs/>
      <w:color w:val="404040" w:themeColor="text1" w:themeTint="BF"/>
    </w:rPr>
  </w:style>
  <w:style w:type="paragraph" w:styleId="Paragraphedeliste">
    <w:name w:val="List Paragraph"/>
    <w:aliases w:val="Bullets,Medium Grid 1 - Accent 21,References,List Paragraph (numbered (a)),Citation List,본문(내용),Colorful List - Accent 11,Liste A,Annexlist,Liste 1,L_4,Paragraphe de liste4,Paragraphe  revu,Gauff Table List,- List tir,liste 1"/>
    <w:basedOn w:val="Normal"/>
    <w:link w:val="ParagraphedelisteCar"/>
    <w:uiPriority w:val="34"/>
    <w:qFormat/>
    <w:rsid w:val="00347D9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47D9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47D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47D9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47D9C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47D9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47D9C"/>
    <w:rPr>
      <w:rFonts w:ascii="Calibri" w:eastAsia="Calibri" w:hAnsi="Calibri" w:cs="Times New Roman"/>
      <w:kern w:val="0"/>
      <w:sz w:val="22"/>
      <w:szCs w:val="22"/>
      <w:lang w:val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47D9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47D9C"/>
    <w:rPr>
      <w:rFonts w:ascii="Calibri" w:eastAsia="Calibri" w:hAnsi="Calibri" w:cs="Times New Roman"/>
      <w:kern w:val="0"/>
      <w:sz w:val="22"/>
      <w:szCs w:val="22"/>
      <w:lang w:val="fr-FR"/>
      <w14:ligatures w14:val="none"/>
    </w:rPr>
  </w:style>
  <w:style w:type="character" w:customStyle="1" w:styleId="ParagraphedelisteCar">
    <w:name w:val="Paragraphe de liste Car"/>
    <w:aliases w:val="Bullets Car,Medium Grid 1 - Accent 21 Car,References Car,List Paragraph (numbered (a)) Car,Citation List Car,본문(내용) Car,Colorful List - Accent 11 Car,Liste A Car,Annexlist Car,Liste 1 Car,L_4 Car,Paragraphe de liste4 Car"/>
    <w:link w:val="Paragraphedeliste"/>
    <w:uiPriority w:val="34"/>
    <w:qFormat/>
    <w:locked/>
    <w:rsid w:val="00347D9C"/>
  </w:style>
  <w:style w:type="character" w:styleId="Lienhypertexte">
    <w:name w:val="Hyperlink"/>
    <w:uiPriority w:val="99"/>
    <w:qFormat/>
    <w:rsid w:val="00347D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cep.ne" TargetMode="External"/><Relationship Id="rId5" Type="http://schemas.openxmlformats.org/officeDocument/2006/relationships/hyperlink" Target="mailto:djibo.amadou@arcep.n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cep.ne" TargetMode="External"/><Relationship Id="rId1" Type="http://schemas.openxmlformats.org/officeDocument/2006/relationships/hyperlink" Target="mailto:arcep@arcep.n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455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Djibo AMADOU</dc:creator>
  <cp:keywords/>
  <dc:description/>
  <cp:lastModifiedBy>Djibo AMADOU</cp:lastModifiedBy>
  <cp:revision>2</cp:revision>
  <dcterms:created xsi:type="dcterms:W3CDTF">2026-01-20T10:46:00Z</dcterms:created>
  <dcterms:modified xsi:type="dcterms:W3CDTF">2026-01-20T10:53:00Z</dcterms:modified>
</cp:coreProperties>
</file>